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D0836" w14:textId="77777777" w:rsidR="00C4495D" w:rsidRPr="00D50868" w:rsidRDefault="00C4495D" w:rsidP="00C4495D">
      <w:pPr>
        <w:rPr>
          <w:rFonts w:ascii="Times New Roman" w:hAnsi="Times New Roman" w:cs="Times New Roman"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DJEČJI VRTIĆI  PETAR PAN VODNJAN</w:t>
      </w:r>
    </w:p>
    <w:p w14:paraId="08D0CB4C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SCUOLE DELL' INFANZIA  PETAR PAN DIGNANO</w:t>
      </w:r>
    </w:p>
    <w:p w14:paraId="4D13E79E" w14:textId="77777777" w:rsidR="00C85E72" w:rsidRPr="00D50868" w:rsidRDefault="00C4495D" w:rsidP="00C4495D">
      <w:pPr>
        <w:rPr>
          <w:rFonts w:ascii="Times New Roman" w:hAnsi="Times New Roman" w:cs="Times New Roman"/>
          <w:noProof/>
          <w:sz w:val="24"/>
          <w:szCs w:val="24"/>
        </w:rPr>
      </w:pPr>
      <w:r w:rsidRPr="00D50868">
        <w:rPr>
          <w:rFonts w:ascii="Times New Roman" w:hAnsi="Times New Roman" w:cs="Times New Roman"/>
          <w:noProof/>
          <w:sz w:val="24"/>
          <w:szCs w:val="24"/>
        </w:rPr>
        <w:t>S. Rocco  17</w:t>
      </w:r>
      <w:r w:rsidR="00C85E72" w:rsidRPr="00D50868">
        <w:rPr>
          <w:rFonts w:ascii="Times New Roman" w:hAnsi="Times New Roman" w:cs="Times New Roman"/>
          <w:noProof/>
          <w:sz w:val="24"/>
          <w:szCs w:val="24"/>
        </w:rPr>
        <w:t>, Vodnjan</w:t>
      </w:r>
      <w:r w:rsidR="009C0664" w:rsidRPr="00D508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E72" w:rsidRPr="00D50868">
        <w:rPr>
          <w:rFonts w:ascii="Times New Roman" w:hAnsi="Times New Roman" w:cs="Times New Roman"/>
          <w:noProof/>
          <w:sz w:val="24"/>
          <w:szCs w:val="24"/>
        </w:rPr>
        <w:t>- Dignano</w:t>
      </w:r>
    </w:p>
    <w:p w14:paraId="0FA97D68" w14:textId="77777777" w:rsidR="00C4495D" w:rsidRPr="00D50868" w:rsidRDefault="00C4495D" w:rsidP="00C4495D">
      <w:pPr>
        <w:rPr>
          <w:rFonts w:ascii="Times New Roman" w:hAnsi="Times New Roman" w:cs="Times New Roman"/>
          <w:noProof/>
          <w:sz w:val="24"/>
          <w:szCs w:val="24"/>
        </w:rPr>
      </w:pPr>
      <w:r w:rsidRPr="00D50868">
        <w:rPr>
          <w:rFonts w:ascii="Times New Roman" w:hAnsi="Times New Roman" w:cs="Times New Roman"/>
          <w:noProof/>
          <w:sz w:val="24"/>
          <w:szCs w:val="24"/>
        </w:rPr>
        <w:t>OIB 12242845735</w:t>
      </w:r>
    </w:p>
    <w:p w14:paraId="743CAC8F" w14:textId="77777777" w:rsidR="00C4495D" w:rsidRPr="00D50868" w:rsidRDefault="00C4495D" w:rsidP="00C4495D">
      <w:pPr>
        <w:rPr>
          <w:rFonts w:ascii="Times New Roman" w:hAnsi="Times New Roman" w:cs="Times New Roman"/>
          <w:noProof/>
          <w:sz w:val="24"/>
          <w:szCs w:val="24"/>
        </w:rPr>
      </w:pPr>
    </w:p>
    <w:p w14:paraId="56B4E97A" w14:textId="77777777" w:rsidR="00C85E72" w:rsidRPr="00D50868" w:rsidRDefault="00C85E72" w:rsidP="00C4495D">
      <w:pPr>
        <w:rPr>
          <w:rFonts w:ascii="Times New Roman" w:hAnsi="Times New Roman" w:cs="Times New Roman"/>
          <w:noProof/>
          <w:sz w:val="24"/>
          <w:szCs w:val="24"/>
        </w:rPr>
      </w:pPr>
    </w:p>
    <w:p w14:paraId="756DCD27" w14:textId="0CE83585" w:rsidR="00C4495D" w:rsidRPr="003B6BF0" w:rsidRDefault="00C4495D" w:rsidP="00C4495D">
      <w:pPr>
        <w:rPr>
          <w:rFonts w:ascii="Times New Roman" w:hAnsi="Times New Roman" w:cs="Times New Roman"/>
          <w:noProof/>
          <w:sz w:val="24"/>
          <w:szCs w:val="24"/>
        </w:rPr>
      </w:pPr>
      <w:r w:rsidRPr="003B6BF0">
        <w:rPr>
          <w:rFonts w:ascii="Times New Roman" w:hAnsi="Times New Roman" w:cs="Times New Roman"/>
          <w:noProof/>
          <w:sz w:val="24"/>
          <w:szCs w:val="24"/>
        </w:rPr>
        <w:t>Klasa: 400-0</w:t>
      </w:r>
      <w:r w:rsidR="003F3B0A" w:rsidRPr="003B6BF0">
        <w:rPr>
          <w:rFonts w:ascii="Times New Roman" w:hAnsi="Times New Roman" w:cs="Times New Roman"/>
          <w:noProof/>
          <w:sz w:val="24"/>
          <w:szCs w:val="24"/>
        </w:rPr>
        <w:t>2</w:t>
      </w:r>
      <w:r w:rsidRPr="003B6BF0">
        <w:rPr>
          <w:rFonts w:ascii="Times New Roman" w:hAnsi="Times New Roman" w:cs="Times New Roman"/>
          <w:noProof/>
          <w:sz w:val="24"/>
          <w:szCs w:val="24"/>
        </w:rPr>
        <w:t>/</w:t>
      </w:r>
      <w:r w:rsidR="00D471D2" w:rsidRPr="003B6BF0">
        <w:rPr>
          <w:rFonts w:ascii="Times New Roman" w:hAnsi="Times New Roman" w:cs="Times New Roman"/>
          <w:noProof/>
          <w:sz w:val="24"/>
          <w:szCs w:val="24"/>
        </w:rPr>
        <w:t>2</w:t>
      </w:r>
      <w:r w:rsidR="003B6BF0" w:rsidRPr="003B6BF0">
        <w:rPr>
          <w:rFonts w:ascii="Times New Roman" w:hAnsi="Times New Roman" w:cs="Times New Roman"/>
          <w:noProof/>
          <w:sz w:val="24"/>
          <w:szCs w:val="24"/>
        </w:rPr>
        <w:t>4-01/3</w:t>
      </w:r>
    </w:p>
    <w:p w14:paraId="10643739" w14:textId="68A3AB55" w:rsidR="00C4495D" w:rsidRPr="003B6BF0" w:rsidRDefault="003F3B0A" w:rsidP="00C4495D">
      <w:pPr>
        <w:rPr>
          <w:rFonts w:ascii="Times New Roman" w:hAnsi="Times New Roman" w:cs="Times New Roman"/>
          <w:noProof/>
          <w:sz w:val="24"/>
          <w:szCs w:val="24"/>
        </w:rPr>
      </w:pPr>
      <w:r w:rsidRPr="003B6BF0">
        <w:rPr>
          <w:rFonts w:ascii="Times New Roman" w:hAnsi="Times New Roman" w:cs="Times New Roman"/>
          <w:noProof/>
          <w:sz w:val="24"/>
          <w:szCs w:val="24"/>
        </w:rPr>
        <w:t>Ur.br.: 216</w:t>
      </w:r>
      <w:r w:rsidR="004A4A43" w:rsidRPr="003B6BF0">
        <w:rPr>
          <w:rFonts w:ascii="Times New Roman" w:hAnsi="Times New Roman" w:cs="Times New Roman"/>
          <w:noProof/>
          <w:sz w:val="24"/>
          <w:szCs w:val="24"/>
        </w:rPr>
        <w:t>3-10</w:t>
      </w:r>
      <w:r w:rsidRPr="003B6BF0">
        <w:rPr>
          <w:rFonts w:ascii="Times New Roman" w:hAnsi="Times New Roman" w:cs="Times New Roman"/>
          <w:noProof/>
          <w:sz w:val="24"/>
          <w:szCs w:val="24"/>
        </w:rPr>
        <w:t>-</w:t>
      </w:r>
      <w:r w:rsidR="004A4A43" w:rsidRPr="003B6BF0">
        <w:rPr>
          <w:rFonts w:ascii="Times New Roman" w:hAnsi="Times New Roman" w:cs="Times New Roman"/>
          <w:noProof/>
          <w:sz w:val="24"/>
          <w:szCs w:val="24"/>
        </w:rPr>
        <w:t>1-2</w:t>
      </w:r>
      <w:r w:rsidR="003B6BF0" w:rsidRPr="003B6BF0">
        <w:rPr>
          <w:rFonts w:ascii="Times New Roman" w:hAnsi="Times New Roman" w:cs="Times New Roman"/>
          <w:noProof/>
          <w:sz w:val="24"/>
          <w:szCs w:val="24"/>
        </w:rPr>
        <w:t>4</w:t>
      </w:r>
      <w:r w:rsidR="004A4A43" w:rsidRPr="003B6BF0">
        <w:rPr>
          <w:rFonts w:ascii="Times New Roman" w:hAnsi="Times New Roman" w:cs="Times New Roman"/>
          <w:noProof/>
          <w:sz w:val="24"/>
          <w:szCs w:val="24"/>
        </w:rPr>
        <w:t>-01-1</w:t>
      </w:r>
    </w:p>
    <w:p w14:paraId="6FA74877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F93F75C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A85879E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B0BAB3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9F739FF" w14:textId="77777777" w:rsidR="0098186E" w:rsidRPr="00D50868" w:rsidRDefault="0098186E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C78C4B9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1FEC49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B888C2" w14:textId="77777777" w:rsidR="00146DB2" w:rsidRPr="00D50868" w:rsidRDefault="00146DB2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6344F4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59339B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1DC1F6" w14:textId="77777777" w:rsidR="00C4495D" w:rsidRPr="00D50868" w:rsidRDefault="00C4495D" w:rsidP="00C449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5A6CF8F" w14:textId="77777777" w:rsidR="00C4495D" w:rsidRPr="00D50868" w:rsidRDefault="003F3B0A" w:rsidP="00E8567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PRIJEDLOG FINANCIJ</w:t>
      </w:r>
      <w:r w:rsidR="00301D03" w:rsidRPr="00D50868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Pr="00D50868">
        <w:rPr>
          <w:rFonts w:ascii="Times New Roman" w:hAnsi="Times New Roman" w:cs="Times New Roman"/>
          <w:b/>
          <w:noProof/>
          <w:sz w:val="24"/>
          <w:szCs w:val="24"/>
        </w:rPr>
        <w:t>KOG</w:t>
      </w:r>
      <w:r w:rsidR="00C4495D" w:rsidRPr="00D50868">
        <w:rPr>
          <w:rFonts w:ascii="Times New Roman" w:hAnsi="Times New Roman" w:cs="Times New Roman"/>
          <w:b/>
          <w:noProof/>
          <w:sz w:val="24"/>
          <w:szCs w:val="24"/>
        </w:rPr>
        <w:t xml:space="preserve"> PLAN</w:t>
      </w:r>
      <w:r w:rsidRPr="00D50868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C4495D" w:rsidRPr="00D50868">
        <w:rPr>
          <w:rFonts w:ascii="Times New Roman" w:hAnsi="Times New Roman" w:cs="Times New Roman"/>
          <w:b/>
          <w:noProof/>
          <w:sz w:val="24"/>
          <w:szCs w:val="24"/>
        </w:rPr>
        <w:t xml:space="preserve"> PRORAČUNSKOG KORISNIKA</w:t>
      </w:r>
    </w:p>
    <w:p w14:paraId="1B758EF2" w14:textId="77777777" w:rsidR="00C4495D" w:rsidRPr="00D50868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 xml:space="preserve">D.V.-S.I. PETAR PAN VODNJAN-DIGNANO </w:t>
      </w:r>
    </w:p>
    <w:p w14:paraId="07F9A645" w14:textId="77777777" w:rsidR="00C4495D" w:rsidRPr="00D50868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ZA 20</w:t>
      </w:r>
      <w:r w:rsidR="001B6923" w:rsidRPr="00D5086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4A5650" w:rsidRPr="00D50868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D50868">
        <w:rPr>
          <w:rFonts w:ascii="Times New Roman" w:hAnsi="Times New Roman" w:cs="Times New Roman"/>
          <w:b/>
          <w:noProof/>
          <w:sz w:val="24"/>
          <w:szCs w:val="24"/>
        </w:rPr>
        <w:t xml:space="preserve">.GODINU </w:t>
      </w:r>
    </w:p>
    <w:p w14:paraId="0F6C5C11" w14:textId="77777777" w:rsidR="00C4495D" w:rsidRPr="00D50868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SA PROJEKCIJAMA ZA 20</w:t>
      </w:r>
      <w:r w:rsidR="004A5650" w:rsidRPr="00D50868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Pr="00D50868">
        <w:rPr>
          <w:rFonts w:ascii="Times New Roman" w:hAnsi="Times New Roman" w:cs="Times New Roman"/>
          <w:b/>
          <w:noProof/>
          <w:sz w:val="24"/>
          <w:szCs w:val="24"/>
        </w:rPr>
        <w:t>. I 202</w:t>
      </w:r>
      <w:r w:rsidR="004A5650" w:rsidRPr="00D50868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1B6923" w:rsidRPr="00D5086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D50868">
        <w:rPr>
          <w:rFonts w:ascii="Times New Roman" w:hAnsi="Times New Roman" w:cs="Times New Roman"/>
          <w:b/>
          <w:noProof/>
          <w:sz w:val="24"/>
          <w:szCs w:val="24"/>
        </w:rPr>
        <w:t xml:space="preserve"> GODINU</w:t>
      </w:r>
    </w:p>
    <w:p w14:paraId="4B14B817" w14:textId="77777777" w:rsidR="00C4495D" w:rsidRPr="00D50868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4E721DE" w14:textId="77777777" w:rsidR="00C4495D" w:rsidRPr="00D50868" w:rsidRDefault="00C4495D" w:rsidP="00E85675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20B47D8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5D00F98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F32A29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0A54EF9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0D36578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E8A395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FD85B26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A2DC0B5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846BBFE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A6C9C1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596B9B7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5FA20F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D8E79A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139C3BB" w14:textId="77777777" w:rsidR="0098186E" w:rsidRPr="00D50868" w:rsidRDefault="0098186E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016AD09" w14:textId="77777777" w:rsidR="003F3B0A" w:rsidRPr="00D50868" w:rsidRDefault="003F3B0A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0F8EC6A" w14:textId="77777777" w:rsidR="003F3B0A" w:rsidRPr="00D50868" w:rsidRDefault="003F3B0A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892768C" w14:textId="77777777" w:rsidR="00922067" w:rsidRPr="00D50868" w:rsidRDefault="00922067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5DAC31C" w14:textId="77777777" w:rsidR="0098186E" w:rsidRPr="00D50868" w:rsidRDefault="0098186E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BD287" w14:textId="77777777" w:rsidR="004D21F0" w:rsidRPr="00D50868" w:rsidRDefault="004D21F0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485837" w14:textId="77777777" w:rsidR="00C4495D" w:rsidRPr="00D50868" w:rsidRDefault="00C4495D" w:rsidP="00C4495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B6D0148" w14:textId="77777777" w:rsidR="00C4495D" w:rsidRPr="00D50868" w:rsidRDefault="00C4495D" w:rsidP="00C4495D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U Vodnjanu,  </w:t>
      </w:r>
      <w:r w:rsidR="00354285" w:rsidRPr="00D50868">
        <w:rPr>
          <w:rFonts w:ascii="Times New Roman" w:hAnsi="Times New Roman" w:cs="Times New Roman"/>
          <w:bCs/>
          <w:noProof/>
          <w:sz w:val="24"/>
          <w:szCs w:val="24"/>
        </w:rPr>
        <w:t>listopad</w:t>
      </w:r>
      <w:r w:rsidR="00D471D2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202</w:t>
      </w:r>
      <w:r w:rsidR="004A5650" w:rsidRPr="00D50868">
        <w:rPr>
          <w:rFonts w:ascii="Times New Roman" w:hAnsi="Times New Roman" w:cs="Times New Roman"/>
          <w:bCs/>
          <w:noProof/>
          <w:sz w:val="24"/>
          <w:szCs w:val="24"/>
        </w:rPr>
        <w:t>4</w:t>
      </w:r>
      <w:r w:rsidR="0010165C"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2FD7160D" w14:textId="77777777" w:rsidR="00BC55A6" w:rsidRPr="00D50868" w:rsidRDefault="00BC55A6" w:rsidP="00BC55A6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84C5BF7" w14:textId="77777777" w:rsidR="00ED5B2B" w:rsidRDefault="00ED5B2B" w:rsidP="00BC55A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975C3F7" w14:textId="77777777" w:rsidR="00400AD8" w:rsidRPr="00D50868" w:rsidRDefault="00810BBF" w:rsidP="00BC55A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50868">
        <w:rPr>
          <w:rFonts w:ascii="Times New Roman" w:hAnsi="Times New Roman" w:cs="Times New Roman"/>
          <w:b/>
          <w:noProof/>
          <w:sz w:val="28"/>
          <w:szCs w:val="28"/>
        </w:rPr>
        <w:t>OBRAZLOŽENJE FINANCIJSKOG</w:t>
      </w:r>
      <w:r w:rsidR="00BC55A6" w:rsidRPr="00D5086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50868">
        <w:rPr>
          <w:rFonts w:ascii="Times New Roman" w:hAnsi="Times New Roman" w:cs="Times New Roman"/>
          <w:b/>
          <w:noProof/>
          <w:sz w:val="28"/>
          <w:szCs w:val="28"/>
        </w:rPr>
        <w:t>PLANA 202</w:t>
      </w:r>
      <w:r w:rsidR="004A5650" w:rsidRPr="00D50868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D50868">
        <w:rPr>
          <w:rFonts w:ascii="Times New Roman" w:hAnsi="Times New Roman" w:cs="Times New Roman"/>
          <w:b/>
          <w:noProof/>
          <w:sz w:val="28"/>
          <w:szCs w:val="28"/>
        </w:rPr>
        <w:t>.-202</w:t>
      </w:r>
      <w:r w:rsidR="004A5650" w:rsidRPr="00D50868"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Pr="00D50868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65EBD35D" w14:textId="77777777" w:rsidR="009163AE" w:rsidRPr="00D50868" w:rsidRDefault="009163AE" w:rsidP="009163AE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318818F" w14:textId="77777777" w:rsidR="009163AE" w:rsidRPr="00D50868" w:rsidRDefault="009163AE" w:rsidP="009163AE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OBRAZLOŽENJE OPĆEG DIJELA FINANCIJSKOG PLANA</w:t>
      </w:r>
    </w:p>
    <w:p w14:paraId="19628663" w14:textId="77777777" w:rsidR="00F34EB0" w:rsidRDefault="00F34EB0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0B495C9" w14:textId="6E68FDC1" w:rsidR="009163AE" w:rsidRDefault="009163AE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U financijskom planu za 202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 godinu sa projekcijama plana za 202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6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 i 202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7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. godinu planirani su 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ukupni prihodi i primici za 202</w:t>
      </w:r>
      <w:r w:rsidR="00AD18E9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. godinu u iznosu od 1.</w:t>
      </w:r>
      <w:r w:rsidR="00B53827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452146">
        <w:rPr>
          <w:rFonts w:ascii="Times New Roman" w:hAnsi="Times New Roman" w:cs="Times New Roman"/>
          <w:b/>
          <w:bCs/>
          <w:noProof/>
          <w:sz w:val="24"/>
          <w:szCs w:val="24"/>
        </w:rPr>
        <w:t>75</w:t>
      </w:r>
      <w:r w:rsidR="00B53827">
        <w:rPr>
          <w:rFonts w:ascii="Times New Roman" w:hAnsi="Times New Roman" w:cs="Times New Roman"/>
          <w:b/>
          <w:bCs/>
          <w:noProof/>
          <w:sz w:val="24"/>
          <w:szCs w:val="24"/>
        </w:rPr>
        <w:t>.3</w:t>
      </w:r>
      <w:r w:rsidR="00906AB6"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00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,00 eur</w:t>
      </w:r>
      <w:r w:rsidR="00CD1AF5"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a odnose se na prihode poslovanja.</w:t>
      </w:r>
    </w:p>
    <w:p w14:paraId="3113EC0B" w14:textId="77777777" w:rsidR="00F34EB0" w:rsidRPr="00D50868" w:rsidRDefault="00F34EB0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AE33CA0" w14:textId="26DD1B51" w:rsidR="00183C8B" w:rsidRPr="00D50868" w:rsidRDefault="00203DC1" w:rsidP="00325078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Opći prihodi i primici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iz nadležnog proračuna za financiranje redovne djelatno</w:t>
      </w:r>
      <w:r w:rsidR="00906AB6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sti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za 202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C73966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godinu iznose </w:t>
      </w:r>
      <w:r w:rsidR="00906AB6" w:rsidRPr="00D50868">
        <w:rPr>
          <w:rFonts w:ascii="Times New Roman" w:hAnsi="Times New Roman" w:cs="Times New Roman"/>
          <w:bCs/>
          <w:noProof/>
          <w:sz w:val="24"/>
          <w:szCs w:val="24"/>
        </w:rPr>
        <w:t>1.</w:t>
      </w:r>
      <w:r w:rsidR="00B53827">
        <w:rPr>
          <w:rFonts w:ascii="Times New Roman" w:hAnsi="Times New Roman" w:cs="Times New Roman"/>
          <w:bCs/>
          <w:noProof/>
          <w:sz w:val="24"/>
          <w:szCs w:val="24"/>
        </w:rPr>
        <w:t>196.775,84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eur</w:t>
      </w:r>
      <w:r w:rsidR="00CD1AF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. Prihodi iz nadležnog proračuna za financiranje rashoda poslovanja iznose </w:t>
      </w:r>
      <w:r w:rsidR="00452146" w:rsidRPr="00452146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452146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452146" w:rsidRPr="00452146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AB0C5F">
        <w:rPr>
          <w:rFonts w:ascii="Times New Roman" w:hAnsi="Times New Roman" w:cs="Times New Roman"/>
          <w:bCs/>
          <w:noProof/>
          <w:sz w:val="24"/>
          <w:szCs w:val="24"/>
        </w:rPr>
        <w:t>50</w:t>
      </w:r>
      <w:r w:rsidR="00452146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AB0C5F">
        <w:rPr>
          <w:rFonts w:ascii="Times New Roman" w:hAnsi="Times New Roman" w:cs="Times New Roman"/>
          <w:bCs/>
          <w:noProof/>
          <w:sz w:val="24"/>
          <w:szCs w:val="24"/>
        </w:rPr>
        <w:t>3</w:t>
      </w:r>
      <w:r w:rsidR="00452146" w:rsidRPr="00452146">
        <w:rPr>
          <w:rFonts w:ascii="Times New Roman" w:hAnsi="Times New Roman" w:cs="Times New Roman"/>
          <w:bCs/>
          <w:noProof/>
          <w:sz w:val="24"/>
          <w:szCs w:val="24"/>
        </w:rPr>
        <w:t>75,84</w:t>
      </w:r>
      <w:r w:rsidR="003B40E4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eur</w:t>
      </w:r>
      <w:r w:rsidR="00CD1AF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, prihodi iz nadležnog proračuna za financiranje rashoda za nabav</w:t>
      </w:r>
      <w:r w:rsidR="00AB0C5F">
        <w:rPr>
          <w:rFonts w:ascii="Times New Roman" w:hAnsi="Times New Roman" w:cs="Times New Roman"/>
          <w:bCs/>
          <w:noProof/>
          <w:sz w:val="24"/>
          <w:szCs w:val="24"/>
        </w:rPr>
        <w:t>u nefinancijske imovine iznose 17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.000,00 eur</w:t>
      </w:r>
      <w:r w:rsidR="00CD1AF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, a prihodi iz nadležnog proračuna za financiranje izdataka za financijsku imovinu i otplatu zajmova planirani su u visini rashoda prema trenutno važećem otplatnom planu dugoročnog kredita te iznose </w:t>
      </w:r>
      <w:r w:rsidR="00906AB6" w:rsidRPr="00D50868">
        <w:rPr>
          <w:rFonts w:ascii="Times New Roman" w:hAnsi="Times New Roman" w:cs="Times New Roman"/>
          <w:bCs/>
          <w:noProof/>
          <w:sz w:val="24"/>
          <w:szCs w:val="24"/>
        </w:rPr>
        <w:t>2</w:t>
      </w:r>
      <w:r w:rsidR="00AB0C5F">
        <w:rPr>
          <w:rFonts w:ascii="Times New Roman" w:hAnsi="Times New Roman" w:cs="Times New Roman"/>
          <w:bCs/>
          <w:noProof/>
          <w:sz w:val="24"/>
          <w:szCs w:val="24"/>
        </w:rPr>
        <w:t>9.4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CD1AF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CD1AF5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530213BF" w14:textId="77777777" w:rsidR="00BC55A6" w:rsidRPr="00D50868" w:rsidRDefault="00BC55A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14:paraId="11BC64E0" w14:textId="3994213F" w:rsidR="00203DC1" w:rsidRPr="00D50868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Prihodi po posebnim propisima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za 202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. godinu 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planirani su u iznosu od 190</w:t>
      </w:r>
      <w:r w:rsidR="00906AB6" w:rsidRPr="00D50868">
        <w:rPr>
          <w:rFonts w:ascii="Times New Roman" w:hAnsi="Times New Roman" w:cs="Times New Roman"/>
          <w:bCs/>
          <w:noProof/>
          <w:sz w:val="24"/>
          <w:szCs w:val="24"/>
        </w:rPr>
        <w:t>.000</w:t>
      </w:r>
      <w:r w:rsidR="006C696F"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6C696F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Iz navedenih prihoda planira se pokriće materijalnih rashoda ustanove, financijskih rashoda te rashoda za nabavu nefinancijske imovine.</w:t>
      </w:r>
    </w:p>
    <w:p w14:paraId="03769ABA" w14:textId="77777777" w:rsidR="00203DC1" w:rsidRPr="00D50868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</w:p>
    <w:p w14:paraId="781A91A2" w14:textId="77777777" w:rsidR="00203DC1" w:rsidRPr="00D50868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Prihodi od prodaje proizvoda i roba te pruženih usluga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planirani su iznosu </w:t>
      </w:r>
      <w:r w:rsidR="00BC55A6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12</w:t>
      </w:r>
      <w:r w:rsidR="00906AB6" w:rsidRPr="00D50868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.000,00 eur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a odnose se na  pripremu hrane za vanjske korisnike. Ostvarena sredstva planiraju se utrošiti na rashode za zaposlene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na materijalne rashode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te na rashode za nabavu nefinancijske imovine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2E51D94E" w14:textId="77777777" w:rsidR="00203DC1" w:rsidRPr="00D50868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</w:p>
    <w:p w14:paraId="352F544D" w14:textId="77777777" w:rsidR="00440BB1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B0C5F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Prihodi od pomoći</w:t>
      </w:r>
      <w:r w:rsidRPr="00AB0C5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C73966">
        <w:rPr>
          <w:rFonts w:ascii="Times New Roman" w:hAnsi="Times New Roman" w:cs="Times New Roman"/>
          <w:bCs/>
          <w:noProof/>
          <w:sz w:val="24"/>
          <w:szCs w:val="24"/>
        </w:rPr>
        <w:t xml:space="preserve">planirani su iznosu </w:t>
      </w:r>
      <w:r w:rsidR="00AB0C5F" w:rsidRPr="00AB0C5F">
        <w:rPr>
          <w:rFonts w:ascii="Times New Roman" w:hAnsi="Times New Roman" w:cs="Times New Roman"/>
          <w:bCs/>
          <w:noProof/>
          <w:sz w:val="24"/>
          <w:szCs w:val="24"/>
        </w:rPr>
        <w:t>od 63.524,16 eura</w:t>
      </w:r>
      <w:r w:rsidR="00AB0C5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AB0C5F" w:rsidRPr="00AB0C5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50A5D14" w14:textId="73C1CFC2" w:rsidR="00203DC1" w:rsidRDefault="00AB0C5F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Pomoći</w:t>
      </w:r>
      <w:r w:rsidRPr="00AB0C5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203DC1" w:rsidRPr="00AB0C5F">
        <w:rPr>
          <w:rFonts w:ascii="Times New Roman" w:hAnsi="Times New Roman" w:cs="Times New Roman"/>
          <w:bCs/>
          <w:noProof/>
          <w:sz w:val="24"/>
          <w:szCs w:val="24"/>
        </w:rPr>
        <w:t>proračunskim korisnicima iz proračuna koji im nije nadležan</w:t>
      </w:r>
      <w:r w:rsidR="009B1E1B">
        <w:rPr>
          <w:rFonts w:ascii="Times New Roman" w:hAnsi="Times New Roman" w:cs="Times New Roman"/>
          <w:bCs/>
          <w:noProof/>
          <w:sz w:val="24"/>
          <w:szCs w:val="24"/>
        </w:rPr>
        <w:t xml:space="preserve"> planiraju se u iznosu od 19</w:t>
      </w:r>
      <w:r>
        <w:rPr>
          <w:rFonts w:ascii="Times New Roman" w:hAnsi="Times New Roman" w:cs="Times New Roman"/>
          <w:bCs/>
          <w:noProof/>
          <w:sz w:val="24"/>
          <w:szCs w:val="24"/>
        </w:rPr>
        <w:t>.5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9B1E1B">
        <w:rPr>
          <w:rFonts w:ascii="Times New Roman" w:hAnsi="Times New Roman" w:cs="Times New Roman"/>
          <w:bCs/>
          <w:noProof/>
          <w:sz w:val="24"/>
          <w:szCs w:val="24"/>
        </w:rPr>
        <w:t>. Iznos od 1.000,00 eura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9B1E1B" w:rsidRPr="009B1E1B">
        <w:rPr>
          <w:rFonts w:ascii="Times New Roman" w:hAnsi="Times New Roman" w:cs="Times New Roman"/>
          <w:bCs/>
          <w:noProof/>
          <w:sz w:val="24"/>
          <w:szCs w:val="24"/>
        </w:rPr>
        <w:t>odnosi se na tekuću pomoć Istarske županije za realiz</w:t>
      </w:r>
      <w:r w:rsidR="009B1E1B">
        <w:rPr>
          <w:rFonts w:ascii="Times New Roman" w:hAnsi="Times New Roman" w:cs="Times New Roman"/>
          <w:bCs/>
          <w:noProof/>
          <w:sz w:val="24"/>
          <w:szCs w:val="24"/>
        </w:rPr>
        <w:t>acju projekta Zavičajne nastave a preostali iznos od 18.500,00 eura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odnos</w:t>
      </w:r>
      <w:r w:rsidR="009B1E1B">
        <w:rPr>
          <w:rFonts w:ascii="Times New Roman" w:hAnsi="Times New Roman" w:cs="Times New Roman"/>
          <w:bCs/>
          <w:noProof/>
          <w:sz w:val="24"/>
          <w:szCs w:val="24"/>
        </w:rPr>
        <w:t>i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se na tekuće pomoći iz državnog proračuna od Ministarstva znanosti i obrazovanja za sufinanciranje programa javnih potreba koji se ostvaruju u dječjim vrtićima za provedbu programa predškolskog odgoja i obrazovanja za djecu predškolske dobi pripadnika 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nacionalnih manjina, za djecu u programu predškole, za </w:t>
      </w:r>
      <w:r w:rsidR="009B1E1B">
        <w:rPr>
          <w:rFonts w:ascii="Times New Roman" w:hAnsi="Times New Roman" w:cs="Times New Roman"/>
          <w:bCs/>
          <w:noProof/>
          <w:sz w:val="24"/>
          <w:szCs w:val="24"/>
        </w:rPr>
        <w:t>darovitu djecu i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9B1E1B">
        <w:rPr>
          <w:rFonts w:ascii="Times New Roman" w:hAnsi="Times New Roman" w:cs="Times New Roman"/>
          <w:bCs/>
          <w:noProof/>
          <w:sz w:val="24"/>
          <w:szCs w:val="24"/>
        </w:rPr>
        <w:t xml:space="preserve">za djecu s teškoćama, te </w:t>
      </w:r>
      <w:r w:rsidR="009B1E1B" w:rsidRPr="009B1E1B">
        <w:rPr>
          <w:rFonts w:ascii="Times New Roman" w:hAnsi="Times New Roman" w:cs="Times New Roman"/>
          <w:bCs/>
          <w:noProof/>
          <w:sz w:val="24"/>
          <w:szCs w:val="24"/>
        </w:rPr>
        <w:t>za sufinanciranje roditeljskog udjela u cijeni predškolskog odgoja za djecu pripadnike romske nacionalne manjine.</w:t>
      </w:r>
    </w:p>
    <w:p w14:paraId="7BDF90FD" w14:textId="77777777" w:rsidR="009B1E1B" w:rsidRDefault="009B1E1B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1547DCB" w14:textId="33CD7CB6" w:rsidR="00AB0C5F" w:rsidRPr="00AB0C5F" w:rsidRDefault="00AB0C5F" w:rsidP="00AB0C5F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B0C5F">
        <w:rPr>
          <w:rFonts w:ascii="Times New Roman" w:hAnsi="Times New Roman" w:cs="Times New Roman"/>
          <w:bCs/>
          <w:noProof/>
          <w:sz w:val="24"/>
          <w:szCs w:val="24"/>
        </w:rPr>
        <w:t>Prihodi iz nadležnog proračuna za financiranje rashoda poslovanja iz izvora pomoći iznose 44.024,16 eura a planiraju se sukladno Odluci o dodjeli sredstava za fiskalnu održivost dječjih vrtića.</w:t>
      </w:r>
    </w:p>
    <w:p w14:paraId="49A196A4" w14:textId="3FDC12C1" w:rsidR="00BC55A6" w:rsidRDefault="00BC55A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71CEB44" w14:textId="233ACB58" w:rsidR="00BC55A6" w:rsidRPr="00D50868" w:rsidRDefault="00BC55A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Prihodi od donacija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 pravnih osoba izvan općeg prorač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una planiraju se u iznosu od 5.0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a odnose se na tekuće donacije Talijanske Unije.</w:t>
      </w:r>
    </w:p>
    <w:p w14:paraId="0B7A79CE" w14:textId="77777777" w:rsidR="006C696F" w:rsidRDefault="006C696F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4531EFC" w14:textId="77777777" w:rsidR="00F34EB0" w:rsidRPr="00D50868" w:rsidRDefault="00F34EB0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49F8F1A" w14:textId="20B68CBC" w:rsidR="009163AE" w:rsidRDefault="009163AE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Ukupni rashodi i izdaci za 202</w:t>
      </w:r>
      <w:r w:rsidR="00AD18E9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godinu planirani su u iznosu od </w:t>
      </w:r>
      <w:r w:rsidR="00AB0C5F"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1.</w:t>
      </w:r>
      <w:r w:rsidR="00AB0C5F">
        <w:rPr>
          <w:rFonts w:ascii="Times New Roman" w:hAnsi="Times New Roman" w:cs="Times New Roman"/>
          <w:b/>
          <w:bCs/>
          <w:noProof/>
          <w:sz w:val="24"/>
          <w:szCs w:val="24"/>
        </w:rPr>
        <w:t>575.3</w:t>
      </w:r>
      <w:r w:rsidR="00AB0C5F"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00,00 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eur</w:t>
      </w:r>
      <w:r w:rsidR="009F3A93"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od čega su rashodi poslovanja planirani u iznosu od 1.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510.500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9F3A93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, rashodi za nabavu nefinancijske imovine u iznosu od 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36.3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>, izdaci za financi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jsku imovinu i otplatu zajmova 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>u iznosu od 28.500,00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203DC1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092045FF" w14:textId="77777777" w:rsidR="00F34EB0" w:rsidRDefault="00F34EB0" w:rsidP="00F34EB0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841CC49" w14:textId="57DAE116" w:rsidR="009D5386" w:rsidRPr="00F34EB0" w:rsidRDefault="009D5386" w:rsidP="00F34EB0">
      <w:pPr>
        <w:pStyle w:val="Odlomakpopisa"/>
        <w:numPr>
          <w:ilvl w:val="0"/>
          <w:numId w:val="45"/>
        </w:numPr>
        <w:spacing w:line="360" w:lineRule="auto"/>
        <w:jc w:val="both"/>
        <w:rPr>
          <w:bCs/>
          <w:noProof/>
          <w:szCs w:val="24"/>
        </w:rPr>
      </w:pPr>
      <w:r w:rsidRPr="00F34EB0">
        <w:rPr>
          <w:bCs/>
          <w:noProof/>
          <w:szCs w:val="24"/>
          <w:u w:val="single"/>
        </w:rPr>
        <w:t>Rashodi poslovanja</w:t>
      </w:r>
      <w:r w:rsidRPr="00F34EB0">
        <w:rPr>
          <w:bCs/>
          <w:noProof/>
          <w:szCs w:val="24"/>
        </w:rPr>
        <w:t xml:space="preserve"> planirani su u iznosu od </w:t>
      </w:r>
      <w:r w:rsidR="00190F1F" w:rsidRPr="00F34EB0">
        <w:rPr>
          <w:bCs/>
          <w:noProof/>
          <w:szCs w:val="24"/>
        </w:rPr>
        <w:t xml:space="preserve">1.510.500,00 </w:t>
      </w:r>
      <w:r w:rsidRPr="00F34EB0">
        <w:rPr>
          <w:bCs/>
          <w:noProof/>
          <w:szCs w:val="24"/>
        </w:rPr>
        <w:t>eur</w:t>
      </w:r>
      <w:r w:rsidR="00A42CD2" w:rsidRPr="00F34EB0">
        <w:rPr>
          <w:bCs/>
          <w:noProof/>
          <w:szCs w:val="24"/>
        </w:rPr>
        <w:t>a</w:t>
      </w:r>
      <w:r w:rsidRPr="00F34EB0">
        <w:rPr>
          <w:bCs/>
          <w:noProof/>
          <w:szCs w:val="24"/>
        </w:rPr>
        <w:t>.</w:t>
      </w:r>
    </w:p>
    <w:p w14:paraId="03375D59" w14:textId="77777777" w:rsidR="00F34EB0" w:rsidRDefault="00F34EB0" w:rsidP="00F34EB0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F46DF76" w14:textId="6AD6ADF9" w:rsidR="00731F83" w:rsidRDefault="007D1396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Rashodi za zaposlene planirani su u iznosu od 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1.131.900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, od čega 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1.062.375,84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iz općih prih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>oda i primitaka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. Z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>a bruto plaću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 planira se iznos od 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1.000.375,84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eura a za ostale rashode za zaposlene –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B21D2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za 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regres, božićnicu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, dar djeci do 15 godine, dar u naravi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te otpremnine planira se iznos od 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62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.000,00 eura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. Iz vlastitih prihoda planira se iznos od 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2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5.5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00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 čega za bruto plaću 15.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000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>, a za ostale rashode za zaposlene</w:t>
      </w:r>
      <w:r w:rsidR="00731F83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–jubilarne nagrade</w:t>
      </w:r>
      <w:r w:rsidR="00731F83" w:rsidRPr="00D50868">
        <w:rPr>
          <w:rFonts w:ascii="Times New Roman" w:hAnsi="Times New Roman" w:cs="Times New Roman"/>
          <w:bCs/>
          <w:noProof/>
          <w:sz w:val="24"/>
          <w:szCs w:val="24"/>
        </w:rPr>
        <w:t>, naknade za bolest, invalidnost i smrtni slučaj, naknad</w:t>
      </w:r>
      <w:r w:rsidR="00115F55" w:rsidRPr="00D50868"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="00731F83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za duže bolovanje preko 90 dana </w:t>
      </w:r>
      <w:r w:rsidR="00115F55" w:rsidRPr="00D50868">
        <w:rPr>
          <w:rFonts w:ascii="Times New Roman" w:hAnsi="Times New Roman" w:cs="Times New Roman"/>
          <w:bCs/>
          <w:noProof/>
          <w:sz w:val="24"/>
          <w:szCs w:val="24"/>
        </w:rPr>
        <w:t>te za naknade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za novorođenče</w:t>
      </w:r>
      <w:r w:rsidR="00731F83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A24A33" w:rsidRPr="00D50868">
        <w:rPr>
          <w:rFonts w:ascii="Times New Roman" w:hAnsi="Times New Roman" w:cs="Times New Roman"/>
          <w:bCs/>
          <w:noProof/>
          <w:sz w:val="24"/>
          <w:szCs w:val="24"/>
        </w:rPr>
        <w:t>plan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ira se iznos od  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10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00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A42CD2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731F83"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 xml:space="preserve"> Iz izvora pomoći planira se iznos od 44.024,16 eura </w:t>
      </w:r>
      <w:r w:rsidR="008C51E1">
        <w:rPr>
          <w:rFonts w:ascii="Times New Roman" w:hAnsi="Times New Roman" w:cs="Times New Roman"/>
          <w:bCs/>
          <w:noProof/>
          <w:sz w:val="24"/>
          <w:szCs w:val="24"/>
        </w:rPr>
        <w:t>z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a bruto plaću.</w:t>
      </w:r>
    </w:p>
    <w:p w14:paraId="3629F8B7" w14:textId="77777777" w:rsidR="00F34EB0" w:rsidRPr="00D50868" w:rsidRDefault="00F34EB0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CF7B4FE" w14:textId="685CE350" w:rsidR="003D6E47" w:rsidRPr="00D50868" w:rsidRDefault="003D6E47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Materijalni rashodi planirani su u ukupnom iznosu od 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3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75.400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25E74952" w14:textId="6A568D71" w:rsidR="003D6E47" w:rsidRPr="00D50868" w:rsidRDefault="003D6E47" w:rsidP="00A24A33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Materijalni rashodi planiraju se iz općih prihoda i primitaka u iznosu od  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8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8</w:t>
      </w:r>
      <w:r w:rsidR="00190F1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 čega</w:t>
      </w:r>
      <w:r w:rsidR="00DC2C20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se 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8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6.4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C2C20" w:rsidRPr="00D50868"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dnose na materijalne 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rashode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za 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pro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gram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sku djelatnost ustanove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dok 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>se iznos od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1.600,00 eur</w:t>
      </w:r>
      <w:r w:rsidR="00E34130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odnos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>i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na materijalne 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 xml:space="preserve">rashode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za program predškole.</w:t>
      </w:r>
    </w:p>
    <w:p w14:paraId="34F4887C" w14:textId="1FEA95AF" w:rsidR="00DC2C20" w:rsidRPr="008449AF" w:rsidRDefault="00DC2C20" w:rsidP="00DC2C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Materijalni rashodi planiraju se iz 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vlastitih prihoda u iznosu od  88.</w:t>
      </w:r>
      <w:r w:rsidR="005F6199" w:rsidRPr="008449AF">
        <w:rPr>
          <w:rFonts w:ascii="Times New Roman" w:hAnsi="Times New Roman" w:cs="Times New Roman"/>
          <w:bCs/>
          <w:noProof/>
          <w:sz w:val="24"/>
          <w:szCs w:val="24"/>
        </w:rPr>
        <w:t>90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. Naknade troškova zaposl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enima planiraju se u iznosu od 2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9.400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,00 eur a odnose se na nakn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du 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prijevoza sa i na posao te na troškove prehrane radnika. 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Rashodi za materijal i energiju planiraju se u iznosu od 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56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500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="00FE518F" w:rsidRPr="008449AF">
        <w:rPr>
          <w:rFonts w:ascii="Times New Roman" w:hAnsi="Times New Roman" w:cs="Times New Roman"/>
          <w:bCs/>
          <w:noProof/>
          <w:sz w:val="24"/>
          <w:szCs w:val="24"/>
        </w:rPr>
        <w:t>Rashodi za usluge planiraju se u iznosu od 3.000,00 eura a odnose se na usluge tekućeg i investicijskog održavanja.</w:t>
      </w:r>
    </w:p>
    <w:p w14:paraId="2424D1A5" w14:textId="3A4608A2" w:rsidR="00D15EB9" w:rsidRPr="008449AF" w:rsidRDefault="00DC2C20" w:rsidP="00D15EB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Materijalni rashodi iz prihoda za posebne namjene planiraju se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u iznosu od  1</w:t>
      </w:r>
      <w:r w:rsidR="005F6199" w:rsidRPr="008449AF">
        <w:rPr>
          <w:rFonts w:ascii="Times New Roman" w:hAnsi="Times New Roman" w:cs="Times New Roman"/>
          <w:bCs/>
          <w:noProof/>
          <w:sz w:val="24"/>
          <w:szCs w:val="24"/>
        </w:rPr>
        <w:t>76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.4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E34130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Naknade troškova zaposlenima planiraju se u iznosu od 3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7.000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a odnose s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>e na službena putovanja, naknade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za prijevoz sa i na posao, stručno usavršavanje zaposlenika i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na troškove prehrane radnika. 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>Rashodi za materijal i energiju planiraj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>u se u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iznosu od 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72.20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>a odnose se na uredski materijal i ostale materijalne rashode, materijal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i sirovine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>, energiju, materijal i dijelove za tekuće održavanje, sitan inventar te na službenu, rad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nu i zaštitnu odjeću i obuću. 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Rashodi za usluge planiraju se u iznosu od 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53.200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a odnose se na usluge telefona pošte i prijevoza, usluge tekućeg i investicijskog održavanja, komunalne usluge, zakupnine i najamnine, zdravstvene usluge, intelektualne usluge, računalne usluge te ostale usluge. Ostali nespomenuti rashodi poslovanja planiraju se u iznosu od 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4.0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a odnose se na 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naknade za rad članovima upravnog vijeća, </w:t>
      </w:r>
      <w:r w:rsidR="00D15EB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premije osiguranja, reprezentaciju, pristojbe i naknade te ostale nespomenute rashode poslovanja. </w:t>
      </w:r>
    </w:p>
    <w:p w14:paraId="338B5D31" w14:textId="47E04B96" w:rsidR="00D15EB9" w:rsidRPr="008449AF" w:rsidRDefault="00D15EB9" w:rsidP="00D15EB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Materijalni rashodi iz pomoći planiraju se </w:t>
      </w:r>
      <w:r w:rsidR="00C54899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u iznosu od </w:t>
      </w:r>
      <w:r w:rsidR="005F6199" w:rsidRPr="008449AF">
        <w:rPr>
          <w:rFonts w:ascii="Times New Roman" w:hAnsi="Times New Roman" w:cs="Times New Roman"/>
          <w:bCs/>
          <w:noProof/>
          <w:sz w:val="24"/>
          <w:szCs w:val="24"/>
        </w:rPr>
        <w:t>17.1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, od čega 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se 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800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planira za stručno usavršavanje zapos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>l</w:t>
      </w:r>
      <w:r w:rsidRPr="008449AF">
        <w:rPr>
          <w:rFonts w:ascii="Times New Roman" w:hAnsi="Times New Roman" w:cs="Times New Roman"/>
          <w:bCs/>
          <w:noProof/>
          <w:sz w:val="24"/>
          <w:szCs w:val="24"/>
        </w:rPr>
        <w:t>enika</w:t>
      </w:r>
      <w:r w:rsidR="00FD1C1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iznos od 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DA7A62">
        <w:rPr>
          <w:rFonts w:ascii="Times New Roman" w:hAnsi="Times New Roman" w:cs="Times New Roman"/>
          <w:bCs/>
          <w:noProof/>
          <w:sz w:val="24"/>
          <w:szCs w:val="24"/>
        </w:rPr>
        <w:t>5.3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D4101A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planira za rashode za materijal a odnosi se na nabavu</w:t>
      </w:r>
      <w:r w:rsidR="00FD1C1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92A96" w:rsidRPr="008449AF">
        <w:rPr>
          <w:rFonts w:ascii="Times New Roman" w:hAnsi="Times New Roman" w:cs="Times New Roman"/>
          <w:bCs/>
          <w:noProof/>
          <w:sz w:val="24"/>
          <w:szCs w:val="24"/>
        </w:rPr>
        <w:t>didaktike</w:t>
      </w:r>
      <w:r w:rsidR="009B131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i sitnog</w:t>
      </w:r>
      <w:r w:rsidR="00FD1C1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inventar</w:t>
      </w:r>
      <w:r w:rsidR="009B1316" w:rsidRPr="008449A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FD1C16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dok s</w:t>
      </w:r>
      <w:r w:rsidR="008449AF" w:rsidRPr="008449AF">
        <w:rPr>
          <w:rFonts w:ascii="Times New Roman" w:hAnsi="Times New Roman" w:cs="Times New Roman"/>
          <w:bCs/>
          <w:noProof/>
          <w:sz w:val="24"/>
          <w:szCs w:val="24"/>
        </w:rPr>
        <w:t>e za rashode za usluge planira 1.0</w:t>
      </w:r>
      <w:r w:rsidR="00FD1C16" w:rsidRPr="008449AF">
        <w:rPr>
          <w:rFonts w:ascii="Times New Roman" w:hAnsi="Times New Roman" w:cs="Times New Roman"/>
          <w:bCs/>
          <w:noProof/>
          <w:sz w:val="24"/>
          <w:szCs w:val="24"/>
        </w:rPr>
        <w:t>00,00 eura a odnos</w:t>
      </w:r>
      <w:r w:rsidR="009B1316" w:rsidRPr="008449AF"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="00AE3FB4" w:rsidRPr="008449AF">
        <w:rPr>
          <w:rFonts w:ascii="Times New Roman" w:hAnsi="Times New Roman" w:cs="Times New Roman"/>
          <w:bCs/>
          <w:noProof/>
          <w:sz w:val="24"/>
          <w:szCs w:val="24"/>
        </w:rPr>
        <w:t xml:space="preserve"> se na autobusni prijevoz djece.</w:t>
      </w:r>
    </w:p>
    <w:p w14:paraId="0482E7C3" w14:textId="650854AC" w:rsidR="00492A96" w:rsidRDefault="00492A96" w:rsidP="00492A96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Materijalni rashodi iz donacija </w:t>
      </w:r>
      <w:r w:rsidR="00BC415B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planiraju se  u iznosu od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.0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, a odnose se na didaktiku.</w:t>
      </w:r>
    </w:p>
    <w:p w14:paraId="1C8AC4AF" w14:textId="77777777" w:rsidR="00F34EB0" w:rsidRPr="00D50868" w:rsidRDefault="00F34EB0" w:rsidP="00492A96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D01D7D7" w14:textId="212B941F" w:rsidR="00306489" w:rsidRPr="00D50868" w:rsidRDefault="007D139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Financijski rashodi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92A96" w:rsidRPr="00D50868">
        <w:rPr>
          <w:rFonts w:ascii="Times New Roman" w:hAnsi="Times New Roman" w:cs="Times New Roman"/>
          <w:bCs/>
          <w:noProof/>
          <w:sz w:val="24"/>
          <w:szCs w:val="24"/>
        </w:rPr>
        <w:t>u 202</w:t>
      </w:r>
      <w:r w:rsidR="00AD18E9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. godini </w:t>
      </w:r>
      <w:r w:rsidR="00492A96" w:rsidRPr="00D50868">
        <w:rPr>
          <w:rFonts w:ascii="Times New Roman" w:hAnsi="Times New Roman" w:cs="Times New Roman"/>
          <w:bCs/>
          <w:noProof/>
          <w:sz w:val="24"/>
          <w:szCs w:val="24"/>
        </w:rPr>
        <w:t>planirani s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>u u</w:t>
      </w:r>
      <w:r w:rsidR="00492A96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ukupnom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iznosu od 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3.</w:t>
      </w:r>
      <w:r w:rsidR="00F806FA">
        <w:rPr>
          <w:rFonts w:ascii="Times New Roman" w:hAnsi="Times New Roman" w:cs="Times New Roman"/>
          <w:bCs/>
          <w:noProof/>
          <w:sz w:val="24"/>
          <w:szCs w:val="24"/>
        </w:rPr>
        <w:t>2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00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,00 eur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3AC22F31" w14:textId="669ED02E" w:rsidR="00115F55" w:rsidRPr="00D50868" w:rsidRDefault="009163AE" w:rsidP="0030648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Financijski 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>rashodi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>iz općih pri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hoda i primitaka  u iznosu od 9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planirani su u skladu sa trenutno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važećim</w:t>
      </w:r>
      <w:r w:rsidR="00C54899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otplatnim planom dugoročnog kredita Zagrebačke banke d.d. koji se realizirao 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>zbog projekta iz</w:t>
      </w:r>
      <w:r w:rsidR="00492A96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gradnje novog područnog vrtića u </w:t>
      </w:r>
      <w:r w:rsidR="00306489" w:rsidRPr="00D50868">
        <w:rPr>
          <w:rFonts w:ascii="Times New Roman" w:hAnsi="Times New Roman" w:cs="Times New Roman"/>
          <w:bCs/>
          <w:noProof/>
          <w:sz w:val="24"/>
          <w:szCs w:val="24"/>
        </w:rPr>
        <w:t>Peroju.</w:t>
      </w:r>
      <w:r w:rsidR="00306489"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46994DB5" w14:textId="77712987" w:rsidR="009163AE" w:rsidRPr="00D50868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F</w:t>
      </w:r>
      <w:r w:rsidR="00114236" w:rsidRPr="00D50868">
        <w:rPr>
          <w:rFonts w:ascii="Times New Roman" w:hAnsi="Times New Roman" w:cs="Times New Roman"/>
          <w:bCs/>
          <w:noProof/>
          <w:sz w:val="24"/>
          <w:szCs w:val="24"/>
        </w:rPr>
        <w:t>inancijski rashodi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iz prihoda za posebne namjene u iznosu od 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2.</w:t>
      </w:r>
      <w:r w:rsidR="005F6199">
        <w:rPr>
          <w:rFonts w:ascii="Times New Roman" w:hAnsi="Times New Roman" w:cs="Times New Roman"/>
          <w:bCs/>
          <w:noProof/>
          <w:sz w:val="24"/>
          <w:szCs w:val="24"/>
        </w:rPr>
        <w:t>3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0,00 eur</w:t>
      </w:r>
      <w:r w:rsidR="00D32C15" w:rsidRPr="00D50868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odnose se na bankarske usluge i usluge platnog prometa.</w:t>
      </w:r>
      <w:r w:rsidR="00FE518F"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0246E99B" w14:textId="77777777" w:rsidR="00306489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E29A512" w14:textId="77777777" w:rsidR="00867A45" w:rsidRPr="00D50868" w:rsidRDefault="00867A45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57C9268" w14:textId="10C81291" w:rsidR="00306489" w:rsidRPr="00F34EB0" w:rsidRDefault="00306489" w:rsidP="00F34EB0">
      <w:pPr>
        <w:pStyle w:val="Odlomakpopisa"/>
        <w:numPr>
          <w:ilvl w:val="0"/>
          <w:numId w:val="45"/>
        </w:numPr>
        <w:spacing w:line="360" w:lineRule="auto"/>
        <w:jc w:val="both"/>
        <w:rPr>
          <w:bCs/>
          <w:noProof/>
          <w:szCs w:val="24"/>
        </w:rPr>
      </w:pPr>
      <w:r w:rsidRPr="00F34EB0">
        <w:rPr>
          <w:bCs/>
          <w:noProof/>
          <w:szCs w:val="24"/>
          <w:u w:val="single"/>
        </w:rPr>
        <w:t>Rashodi za nabavu nefinancijske imovine</w:t>
      </w:r>
      <w:r w:rsidR="00114236" w:rsidRPr="00F34EB0">
        <w:rPr>
          <w:bCs/>
          <w:noProof/>
          <w:szCs w:val="24"/>
        </w:rPr>
        <w:t xml:space="preserve"> planirani su</w:t>
      </w:r>
      <w:r w:rsidRPr="00F34EB0">
        <w:rPr>
          <w:bCs/>
          <w:noProof/>
          <w:szCs w:val="24"/>
        </w:rPr>
        <w:t xml:space="preserve"> u iznosu od </w:t>
      </w:r>
      <w:r w:rsidR="00630229" w:rsidRPr="00F34EB0">
        <w:rPr>
          <w:bCs/>
          <w:noProof/>
          <w:szCs w:val="24"/>
        </w:rPr>
        <w:t>3</w:t>
      </w:r>
      <w:r w:rsidR="008449AF" w:rsidRPr="00F34EB0">
        <w:rPr>
          <w:bCs/>
          <w:noProof/>
          <w:szCs w:val="24"/>
        </w:rPr>
        <w:t>6.3</w:t>
      </w:r>
      <w:r w:rsidRPr="00F34EB0">
        <w:rPr>
          <w:bCs/>
          <w:noProof/>
          <w:szCs w:val="24"/>
        </w:rPr>
        <w:t>00,00 eur</w:t>
      </w:r>
      <w:r w:rsidR="00630229" w:rsidRPr="00F34EB0">
        <w:rPr>
          <w:bCs/>
          <w:noProof/>
          <w:szCs w:val="24"/>
        </w:rPr>
        <w:t>a</w:t>
      </w:r>
      <w:r w:rsidR="00114236" w:rsidRPr="00F34EB0">
        <w:rPr>
          <w:bCs/>
          <w:noProof/>
          <w:szCs w:val="24"/>
        </w:rPr>
        <w:t>.</w:t>
      </w:r>
    </w:p>
    <w:p w14:paraId="47099B57" w14:textId="7749EDB2" w:rsidR="00114236" w:rsidRPr="008078AA" w:rsidRDefault="0011423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Rashodi za nabavu nefinancijske imovine planirani iz općih pr</w:t>
      </w:r>
      <w:r w:rsidR="008449AF" w:rsidRPr="008078AA">
        <w:rPr>
          <w:rFonts w:ascii="Times New Roman" w:hAnsi="Times New Roman" w:cs="Times New Roman"/>
          <w:bCs/>
          <w:noProof/>
          <w:sz w:val="24"/>
          <w:szCs w:val="24"/>
        </w:rPr>
        <w:t>ihoda i primitaka  u iznosu od 17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.000,00 eur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 odnose se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 na </w:t>
      </w:r>
      <w:r w:rsidR="00FA17C1">
        <w:rPr>
          <w:rFonts w:ascii="Times New Roman" w:hAnsi="Times New Roman" w:cs="Times New Roman"/>
          <w:bCs/>
          <w:noProof/>
          <w:sz w:val="24"/>
          <w:szCs w:val="24"/>
        </w:rPr>
        <w:t xml:space="preserve">nabavu klima uređaja te 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nabavu ili zamjenu dotrajale 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opreme sukladno godišnjem planu i programu odgojno-obrazovnog rada</w:t>
      </w:r>
      <w:r w:rsidR="00E2746F" w:rsidRPr="008078AA">
        <w:rPr>
          <w:rFonts w:ascii="Times New Roman" w:hAnsi="Times New Roman" w:cs="Times New Roman"/>
          <w:noProof/>
        </w:rPr>
        <w:t xml:space="preserve"> 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>za pedagošku 202</w:t>
      </w:r>
      <w:r w:rsidR="00AD18E9" w:rsidRPr="008078AA">
        <w:rPr>
          <w:rFonts w:ascii="Times New Roman" w:hAnsi="Times New Roman" w:cs="Times New Roman"/>
          <w:bCs/>
          <w:noProof/>
          <w:sz w:val="24"/>
          <w:szCs w:val="24"/>
        </w:rPr>
        <w:t>4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>./202</w:t>
      </w:r>
      <w:r w:rsidR="00AD18E9" w:rsidRPr="008078AA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. godinu. </w:t>
      </w:r>
    </w:p>
    <w:p w14:paraId="38BDAB8C" w14:textId="77777777" w:rsidR="00543315" w:rsidRDefault="00114236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Rashodi za nabavu nefinancijske imovine planirani iz vlastitih  prihoda u iznosu od 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>6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FA17C1">
        <w:rPr>
          <w:rFonts w:ascii="Times New Roman" w:hAnsi="Times New Roman" w:cs="Times New Roman"/>
          <w:bCs/>
          <w:noProof/>
          <w:sz w:val="24"/>
          <w:szCs w:val="24"/>
        </w:rPr>
        <w:t xml:space="preserve"> se odnose na nabavu </w:t>
      </w:r>
      <w:r w:rsidR="00FA17C1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ili zamjenu dotrajale opreme </w:t>
      </w:r>
      <w:r w:rsidR="00FA17C1">
        <w:rPr>
          <w:rFonts w:ascii="Times New Roman" w:hAnsi="Times New Roman" w:cs="Times New Roman"/>
          <w:bCs/>
          <w:noProof/>
          <w:sz w:val="24"/>
          <w:szCs w:val="24"/>
        </w:rPr>
        <w:t xml:space="preserve">te na </w:t>
      </w:r>
      <w:r w:rsidR="00F34EB0">
        <w:rPr>
          <w:rFonts w:ascii="Times New Roman" w:hAnsi="Times New Roman" w:cs="Times New Roman"/>
          <w:bCs/>
          <w:noProof/>
          <w:sz w:val="24"/>
          <w:szCs w:val="24"/>
        </w:rPr>
        <w:t>ulaganje u računalni program zbog</w:t>
      </w:r>
      <w:r w:rsidR="00FA17C1">
        <w:rPr>
          <w:rFonts w:ascii="Times New Roman" w:hAnsi="Times New Roman" w:cs="Times New Roman"/>
          <w:bCs/>
          <w:noProof/>
          <w:sz w:val="24"/>
          <w:szCs w:val="24"/>
        </w:rPr>
        <w:t xml:space="preserve"> na</w:t>
      </w:r>
      <w:r w:rsidR="00F34EB0">
        <w:rPr>
          <w:rFonts w:ascii="Times New Roman" w:hAnsi="Times New Roman" w:cs="Times New Roman"/>
          <w:bCs/>
          <w:noProof/>
          <w:sz w:val="24"/>
          <w:szCs w:val="24"/>
        </w:rPr>
        <w:t>bave</w:t>
      </w:r>
      <w:r w:rsidR="00FA17C1">
        <w:rPr>
          <w:rFonts w:ascii="Times New Roman" w:hAnsi="Times New Roman" w:cs="Times New Roman"/>
          <w:bCs/>
          <w:noProof/>
          <w:sz w:val="24"/>
          <w:szCs w:val="24"/>
        </w:rPr>
        <w:t xml:space="preserve"> novih a</w:t>
      </w:r>
      <w:r w:rsidR="00F34EB0">
        <w:rPr>
          <w:rFonts w:ascii="Times New Roman" w:hAnsi="Times New Roman" w:cs="Times New Roman"/>
          <w:bCs/>
          <w:noProof/>
          <w:sz w:val="24"/>
          <w:szCs w:val="24"/>
        </w:rPr>
        <w:t xml:space="preserve">plikacija u postojećem programu. </w:t>
      </w:r>
    </w:p>
    <w:p w14:paraId="64F0C44B" w14:textId="5F6AF56C" w:rsidR="00F34EB0" w:rsidRDefault="00F34EB0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R</w:t>
      </w:r>
      <w:r w:rsidR="00C54899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ashodi  za nabavu  nefinancijske imovine iz </w:t>
      </w:r>
      <w:r w:rsidR="00114236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prihoda za posebne namjene  u iznosu od </w:t>
      </w:r>
      <w:r w:rsidR="008078AA" w:rsidRPr="008078AA">
        <w:rPr>
          <w:rFonts w:ascii="Times New Roman" w:hAnsi="Times New Roman" w:cs="Times New Roman"/>
          <w:bCs/>
          <w:noProof/>
          <w:sz w:val="24"/>
          <w:szCs w:val="24"/>
        </w:rPr>
        <w:t>11.3</w:t>
      </w:r>
      <w:r w:rsidR="00114236" w:rsidRPr="008078AA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114236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 odnose se na nabavu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uredske opreme i namještaja za DV Vodnjan, komunikacijsku opremu, klima uređaj te ulaganja u računalne programe. </w:t>
      </w:r>
    </w:p>
    <w:p w14:paraId="4EE908CF" w14:textId="4E0C0AC2" w:rsidR="007D1396" w:rsidRPr="008078AA" w:rsidRDefault="007D1396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Rashodi za nabavu nefinancijske imovine planirani iz pomoći u iznosu od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 2.</w:t>
      </w:r>
      <w:r w:rsidR="008078AA" w:rsidRPr="008078AA">
        <w:rPr>
          <w:rFonts w:ascii="Times New Roman" w:hAnsi="Times New Roman" w:cs="Times New Roman"/>
          <w:bCs/>
          <w:noProof/>
          <w:sz w:val="24"/>
          <w:szCs w:val="24"/>
        </w:rPr>
        <w:t>4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00,00 eur</w:t>
      </w:r>
      <w:r w:rsidR="00630229" w:rsidRPr="008078AA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 odnose se na 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nabavu</w:t>
      </w:r>
      <w:r w:rsidR="00543315">
        <w:rPr>
          <w:rFonts w:ascii="Times New Roman" w:hAnsi="Times New Roman" w:cs="Times New Roman"/>
          <w:bCs/>
          <w:noProof/>
          <w:sz w:val="24"/>
          <w:szCs w:val="24"/>
        </w:rPr>
        <w:t xml:space="preserve"> prijenosnih 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>računala</w:t>
      </w:r>
      <w:r w:rsidR="00543315">
        <w:rPr>
          <w:rFonts w:ascii="Times New Roman" w:hAnsi="Times New Roman" w:cs="Times New Roman"/>
          <w:bCs/>
          <w:noProof/>
          <w:sz w:val="24"/>
          <w:szCs w:val="24"/>
        </w:rPr>
        <w:t xml:space="preserve"> za skupine</w:t>
      </w:r>
      <w:r w:rsidR="00E2746F" w:rsidRPr="008078AA">
        <w:rPr>
          <w:rFonts w:ascii="Times New Roman" w:hAnsi="Times New Roman" w:cs="Times New Roman"/>
          <w:bCs/>
          <w:noProof/>
          <w:sz w:val="24"/>
          <w:szCs w:val="24"/>
        </w:rPr>
        <w:t xml:space="preserve"> i </w:t>
      </w:r>
      <w:r w:rsidRPr="008078AA">
        <w:rPr>
          <w:rFonts w:ascii="Times New Roman" w:hAnsi="Times New Roman" w:cs="Times New Roman"/>
          <w:bCs/>
          <w:noProof/>
          <w:sz w:val="24"/>
          <w:szCs w:val="24"/>
        </w:rPr>
        <w:t>sportske opreme.</w:t>
      </w:r>
    </w:p>
    <w:p w14:paraId="51DA8528" w14:textId="77777777" w:rsidR="00F34EB0" w:rsidRDefault="00F34EB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EAE773D" w14:textId="77777777" w:rsidR="00867A45" w:rsidRDefault="00867A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7333A01" w14:textId="77777777" w:rsidR="00F34EB0" w:rsidRPr="004379CE" w:rsidRDefault="00F34EB0" w:rsidP="004379C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CE3C635" w14:textId="77777777" w:rsidR="004379CE" w:rsidRDefault="00F34EB0" w:rsidP="004379CE">
      <w:pPr>
        <w:pStyle w:val="Odlomakpopisa"/>
        <w:numPr>
          <w:ilvl w:val="0"/>
          <w:numId w:val="45"/>
        </w:numPr>
        <w:spacing w:line="360" w:lineRule="auto"/>
        <w:ind w:left="0" w:firstLine="851"/>
        <w:jc w:val="both"/>
        <w:rPr>
          <w:bCs/>
          <w:noProof/>
          <w:szCs w:val="24"/>
        </w:rPr>
      </w:pPr>
      <w:r w:rsidRPr="004379CE">
        <w:rPr>
          <w:bCs/>
          <w:noProof/>
          <w:szCs w:val="24"/>
          <w:u w:val="single"/>
        </w:rPr>
        <w:t>Izdaci za financijsku imovinu i otplatu zajmova</w:t>
      </w:r>
      <w:r w:rsidRPr="004379CE">
        <w:rPr>
          <w:bCs/>
          <w:noProof/>
          <w:szCs w:val="24"/>
        </w:rPr>
        <w:t xml:space="preserve"> planiraju se </w:t>
      </w:r>
      <w:r w:rsidR="004379CE" w:rsidRPr="004379CE">
        <w:rPr>
          <w:bCs/>
          <w:noProof/>
          <w:szCs w:val="24"/>
        </w:rPr>
        <w:t xml:space="preserve">u iznosu od 28.500,00 </w:t>
      </w:r>
      <w:r w:rsidRPr="004379CE">
        <w:rPr>
          <w:bCs/>
          <w:noProof/>
          <w:szCs w:val="24"/>
        </w:rPr>
        <w:t>eura</w:t>
      </w:r>
      <w:r w:rsidR="004379CE">
        <w:rPr>
          <w:bCs/>
          <w:noProof/>
          <w:szCs w:val="24"/>
        </w:rPr>
        <w:t xml:space="preserve">. </w:t>
      </w:r>
    </w:p>
    <w:p w14:paraId="7F4974E3" w14:textId="3937BBCB" w:rsidR="004379CE" w:rsidRPr="004379CE" w:rsidRDefault="004379CE" w:rsidP="004379C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4379CE"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="00F34EB0" w:rsidRPr="004379CE">
        <w:rPr>
          <w:rFonts w:ascii="Times New Roman" w:hAnsi="Times New Roman" w:cs="Times New Roman"/>
          <w:bCs/>
          <w:noProof/>
          <w:sz w:val="24"/>
          <w:szCs w:val="24"/>
        </w:rPr>
        <w:t>dnose se na otplatu glavnice kredita</w:t>
      </w:r>
      <w:r w:rsidRPr="004379CE">
        <w:rPr>
          <w:rFonts w:ascii="Times New Roman" w:hAnsi="Times New Roman" w:cs="Times New Roman"/>
          <w:bCs/>
          <w:noProof/>
          <w:sz w:val="24"/>
          <w:szCs w:val="24"/>
        </w:rPr>
        <w:t xml:space="preserve"> u skladu sa trenutno važećim otplatnim planom dugoročnog kredita Zagrebačke banke d.d. koji se realizirao zbog projekta izgradnje novog područnog vrtića u Peroju. Obroci dospijevaju kvatralno a zadnji obrok dospijeva 31.12.2026.</w:t>
      </w:r>
    </w:p>
    <w:p w14:paraId="68B6FE3B" w14:textId="77777777" w:rsidR="004379CE" w:rsidRPr="004379CE" w:rsidRDefault="004379CE" w:rsidP="004379C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04DA72F" w14:textId="77777777" w:rsidR="00E41810" w:rsidRDefault="00E41810" w:rsidP="004379C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E865A76" w14:textId="132B685D" w:rsidR="005F6199" w:rsidRPr="004379CE" w:rsidRDefault="001C6B8C" w:rsidP="004379CE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U financijskom planu za 2025. godinu sa projekcijama za 2026. i 2027. godinu izvršena je promjena </w:t>
      </w:r>
      <w:r w:rsidR="00E41810">
        <w:rPr>
          <w:rFonts w:ascii="Times New Roman" w:hAnsi="Times New Roman" w:cs="Times New Roman"/>
          <w:bCs/>
          <w:noProof/>
          <w:sz w:val="24"/>
          <w:szCs w:val="24"/>
        </w:rPr>
        <w:t>organizacijske te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1C6B8C">
        <w:rPr>
          <w:rFonts w:ascii="Times New Roman" w:hAnsi="Times New Roman" w:cs="Times New Roman"/>
          <w:bCs/>
          <w:noProof/>
          <w:sz w:val="24"/>
          <w:szCs w:val="24"/>
        </w:rPr>
        <w:t>programsk</w:t>
      </w:r>
      <w:r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Pr="001C6B8C">
        <w:rPr>
          <w:rFonts w:ascii="Times New Roman" w:hAnsi="Times New Roman" w:cs="Times New Roman"/>
          <w:bCs/>
          <w:noProof/>
          <w:sz w:val="24"/>
          <w:szCs w:val="24"/>
        </w:rPr>
        <w:t xml:space="preserve"> klasifikacij</w:t>
      </w:r>
      <w:r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Pr="001C6B8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007048">
        <w:rPr>
          <w:rFonts w:ascii="Times New Roman" w:hAnsi="Times New Roman" w:cs="Times New Roman"/>
          <w:bCs/>
          <w:noProof/>
          <w:sz w:val="24"/>
          <w:szCs w:val="24"/>
        </w:rPr>
        <w:t xml:space="preserve">sukladno </w:t>
      </w:r>
      <w:r w:rsidR="007C16A8">
        <w:rPr>
          <w:rFonts w:ascii="Times New Roman" w:hAnsi="Times New Roman" w:cs="Times New Roman"/>
          <w:bCs/>
          <w:noProof/>
          <w:sz w:val="24"/>
          <w:szCs w:val="24"/>
        </w:rPr>
        <w:t>organizacijskoj klasi</w:t>
      </w:r>
      <w:r w:rsidR="00007048">
        <w:rPr>
          <w:rFonts w:ascii="Times New Roman" w:hAnsi="Times New Roman" w:cs="Times New Roman"/>
          <w:bCs/>
          <w:noProof/>
          <w:sz w:val="24"/>
          <w:szCs w:val="24"/>
        </w:rPr>
        <w:t xml:space="preserve">fikaciji, te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programima i </w:t>
      </w:r>
      <w:r w:rsidRPr="001C6B8C">
        <w:rPr>
          <w:rFonts w:ascii="Times New Roman" w:hAnsi="Times New Roman" w:cs="Times New Roman"/>
          <w:bCs/>
          <w:noProof/>
          <w:sz w:val="24"/>
          <w:szCs w:val="24"/>
        </w:rPr>
        <w:t>aktivnosti</w:t>
      </w:r>
      <w:r>
        <w:rPr>
          <w:rFonts w:ascii="Times New Roman" w:hAnsi="Times New Roman" w:cs="Times New Roman"/>
          <w:bCs/>
          <w:noProof/>
          <w:sz w:val="24"/>
          <w:szCs w:val="24"/>
        </w:rPr>
        <w:t>ma u</w:t>
      </w:r>
      <w:r w:rsidRPr="001C6B8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nadležnom Proračunu.</w:t>
      </w:r>
      <w:r w:rsidR="005F6199" w:rsidRPr="004379CE">
        <w:rPr>
          <w:rFonts w:ascii="Times New Roman" w:hAnsi="Times New Roman" w:cs="Times New Roman"/>
          <w:bCs/>
          <w:noProof/>
          <w:sz w:val="24"/>
          <w:szCs w:val="24"/>
        </w:rPr>
        <w:br w:type="page"/>
      </w:r>
    </w:p>
    <w:p w14:paraId="56283362" w14:textId="0CA19964" w:rsidR="009163AE" w:rsidRPr="00D50868" w:rsidRDefault="009163AE" w:rsidP="009163AE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OBRAZLOŽENJE POSEBNOG DIJELA FINANCIJSKOG PLANA</w:t>
      </w:r>
    </w:p>
    <w:p w14:paraId="5F481AA1" w14:textId="77777777" w:rsidR="009163AE" w:rsidRPr="00D50868" w:rsidRDefault="009163AE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327F22" w14:textId="77777777" w:rsidR="001148CB" w:rsidRPr="00D50868" w:rsidRDefault="0003061D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SAŽETAK DJELOKRUGA RADA I OBRAZLOŽENJE PROGRAMA</w:t>
      </w:r>
    </w:p>
    <w:p w14:paraId="684423B9" w14:textId="77777777" w:rsidR="0003061D" w:rsidRPr="00D50868" w:rsidRDefault="0003061D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1B7176" w14:textId="77777777" w:rsidR="005F6CE9" w:rsidRPr="00D50868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Dječji vrtići Petar Pan Vodnjan – Scuole dell' infanzia Petar Pan Dignano javna je ustanova koja u okviru svoje djelatnosti ranog i predškolskog odgoja ostvaruje program njege, odgoja, obrazovanja, zdravstvene zaštite, prehrane i socijalne skrbi djece od navršenih godinu dana do polaska u osnovnu školu.</w:t>
      </w:r>
    </w:p>
    <w:p w14:paraId="4CDC7C01" w14:textId="77777777" w:rsidR="005F6CE9" w:rsidRPr="00D50868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D.V.-S.I. Petar Pan Vodnjan-Dignano ostvaruje svoju djelatnost u matičnoj ustanovi u Vodnjanu, S.Rocco 17 i u područnim odjeljenjima u Galižani, Veli Vrh 5 te u Peroju, Peroj 218.</w:t>
      </w:r>
    </w:p>
    <w:p w14:paraId="418E1EC9" w14:textId="5165F279" w:rsidR="005F6CE9" w:rsidRPr="00D50868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U pedagoškoj 202</w:t>
      </w:r>
      <w:r w:rsidR="001D2B1A" w:rsidRPr="00D50868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./202</w:t>
      </w:r>
      <w:r w:rsidR="001D2B1A" w:rsidRPr="00D50868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. godini vrtić provodi program rada predškolskog odgoja i obrazovanja kroz redovni cjelodnevni 10-satni program te redovni 6-satni program u četiri jasličke skupine, </w:t>
      </w:r>
      <w:r w:rsidR="001D2B1A" w:rsidRPr="00D50868">
        <w:rPr>
          <w:rFonts w:ascii="Times New Roman" w:eastAsia="Calibri" w:hAnsi="Times New Roman" w:cs="Times New Roman"/>
          <w:noProof/>
          <w:sz w:val="24"/>
          <w:szCs w:val="24"/>
        </w:rPr>
        <w:t>pet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vrtićke skupine s radom na hrvatskom jeziku te tri vrtićke skupine s radom na talijanskom jeziku.</w:t>
      </w:r>
    </w:p>
    <w:p w14:paraId="043FD87E" w14:textId="77777777" w:rsidR="00146DB2" w:rsidRPr="00D50868" w:rsidRDefault="00146DB2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533"/>
        <w:gridCol w:w="2658"/>
      </w:tblGrid>
      <w:tr w:rsidR="005F6CE9" w:rsidRPr="00D50868" w14:paraId="207AEC02" w14:textId="77777777" w:rsidTr="00DA5746">
        <w:trPr>
          <w:trHeight w:val="1015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A97" w14:textId="77777777" w:rsidR="005F6CE9" w:rsidRPr="00D50868" w:rsidRDefault="005F6CE9" w:rsidP="005F6CE9">
            <w:pPr>
              <w:spacing w:after="200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845CAE7" w14:textId="77777777" w:rsidR="00146DB2" w:rsidRPr="00D50868" w:rsidRDefault="005F6CE9" w:rsidP="005F6CE9">
            <w:pPr>
              <w:spacing w:after="200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DJEČJI VRTIĆI PETAR PAN VODNJAN – </w:t>
            </w:r>
          </w:p>
          <w:p w14:paraId="3885D4AA" w14:textId="77777777" w:rsidR="005F6CE9" w:rsidRPr="00D50868" w:rsidRDefault="005F6CE9" w:rsidP="005F6CE9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SCUOLE DELL'INFANZIA PETAR PAN DIGNANO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41F2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OBJEKTI:</w:t>
            </w:r>
          </w:p>
          <w:p w14:paraId="7FBA9FA0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Matični objekt  u Vodnjanu- San Rocco 17</w:t>
            </w:r>
          </w:p>
          <w:p w14:paraId="358ABE9A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Objekt u Galižani – Veli Vrh 5</w:t>
            </w:r>
          </w:p>
          <w:p w14:paraId="26BEFA88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Objekt u Peroju – Peroj 218 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EC0E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07594D9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9DC38C6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BROJ DJECE PO PROGRAMIMA</w:t>
            </w:r>
          </w:p>
        </w:tc>
      </w:tr>
      <w:tr w:rsidR="005F6CE9" w:rsidRPr="00D50868" w14:paraId="125D77A4" w14:textId="77777777" w:rsidTr="00DA5746">
        <w:trPr>
          <w:trHeight w:val="7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C7AB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B4C7" w14:textId="77777777" w:rsidR="005F6CE9" w:rsidRPr="00D50868" w:rsidRDefault="005F6CE9" w:rsidP="00146DB2">
            <w:pPr>
              <w:spacing w:after="20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10-satni redovni vrtićki program s radom na hrvatskom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FEF9" w14:textId="5D0BB37D" w:rsidR="005F6CE9" w:rsidRPr="00D50868" w:rsidRDefault="001A2515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91</w:t>
            </w:r>
          </w:p>
        </w:tc>
      </w:tr>
      <w:tr w:rsidR="005F6CE9" w:rsidRPr="00D50868" w14:paraId="132A531D" w14:textId="77777777" w:rsidTr="00DA5746">
        <w:trPr>
          <w:trHeight w:val="75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98AF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3DB4" w14:textId="77777777" w:rsidR="005F6CE9" w:rsidRPr="00D50868" w:rsidRDefault="005F6CE9" w:rsidP="00146DB2">
            <w:pPr>
              <w:spacing w:after="20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10-satni redovni vrtićki program s radom na talijanskom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EADA" w14:textId="224473FF" w:rsidR="005F6CE9" w:rsidRPr="00D50868" w:rsidRDefault="001A2515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58</w:t>
            </w:r>
          </w:p>
        </w:tc>
      </w:tr>
      <w:tr w:rsidR="005F6CE9" w:rsidRPr="00D50868" w14:paraId="6D0B25C3" w14:textId="77777777" w:rsidTr="00DA5746">
        <w:trPr>
          <w:trHeight w:val="75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2F91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A8B7" w14:textId="77777777" w:rsidR="005F6CE9" w:rsidRPr="00D50868" w:rsidRDefault="005F6CE9" w:rsidP="00146DB2">
            <w:pPr>
              <w:spacing w:after="20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10- satni jaslički program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428E" w14:textId="32595C99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  <w:r w:rsidR="001A2515"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</w:p>
        </w:tc>
      </w:tr>
      <w:tr w:rsidR="005F6CE9" w:rsidRPr="00D50868" w14:paraId="0D42A69C" w14:textId="77777777" w:rsidTr="00DA5746">
        <w:trPr>
          <w:trHeight w:val="71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A46C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A35E" w14:textId="77777777" w:rsidR="005F6CE9" w:rsidRPr="00D50868" w:rsidRDefault="005F6CE9" w:rsidP="00146DB2">
            <w:pPr>
              <w:spacing w:after="20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6-satni redovni vrtićki program s radom na hrvatskom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28B7" w14:textId="66DC06B0" w:rsidR="005F6CE9" w:rsidRPr="00D50868" w:rsidRDefault="001A2515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</w:p>
        </w:tc>
      </w:tr>
      <w:tr w:rsidR="005F6CE9" w:rsidRPr="00D50868" w14:paraId="3F23DC13" w14:textId="77777777" w:rsidTr="00DA5746">
        <w:trPr>
          <w:trHeight w:val="71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7601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DB34" w14:textId="77777777" w:rsidR="005F6CE9" w:rsidRPr="00D50868" w:rsidRDefault="005F6CE9" w:rsidP="00146DB2">
            <w:pPr>
              <w:spacing w:after="20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6-satni redovni vrtićki program s radom na talijanskom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47BC" w14:textId="7A73536A" w:rsidR="005F6CE9" w:rsidRPr="00D50868" w:rsidRDefault="001A2515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5F6CE9" w:rsidRPr="00D50868" w14:paraId="5B51F54B" w14:textId="77777777" w:rsidTr="00DA5746">
        <w:trPr>
          <w:trHeight w:val="71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AA81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FC63" w14:textId="77777777" w:rsidR="005F6CE9" w:rsidRPr="00D50868" w:rsidRDefault="005F6CE9" w:rsidP="00146DB2">
            <w:pPr>
              <w:spacing w:after="20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skraćeni program   predškole za djecu koja nisu obuhvaćena redovitim programom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66E3" w14:textId="0EC51BBB" w:rsidR="005F6CE9" w:rsidRPr="00D50868" w:rsidRDefault="001A2515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</w:t>
            </w:r>
          </w:p>
        </w:tc>
      </w:tr>
      <w:tr w:rsidR="005F6CE9" w:rsidRPr="00D50868" w14:paraId="4FDE0923" w14:textId="77777777" w:rsidTr="00DA5746">
        <w:trPr>
          <w:trHeight w:val="553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2E90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9D32EDF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SVEUKUPNO BROJ DJECE U PROGRAMIMA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CB80" w14:textId="77777777" w:rsidR="005F6CE9" w:rsidRPr="00D50868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3C0A09A" w14:textId="07437017" w:rsidR="005F6CE9" w:rsidRPr="00D50868" w:rsidRDefault="001A2515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205</w:t>
            </w:r>
          </w:p>
        </w:tc>
      </w:tr>
    </w:tbl>
    <w:p w14:paraId="141171B6" w14:textId="77777777" w:rsidR="00DA5746" w:rsidRPr="00D50868" w:rsidRDefault="00DA5746" w:rsidP="005F6C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C781BF4" w14:textId="77777777" w:rsidR="005F6CE9" w:rsidRPr="00D50868" w:rsidRDefault="005F6CE9" w:rsidP="005F6C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Broj djece u programima varira ovisno o ispisu/upisu tijekom pedagoške godine.</w:t>
      </w:r>
    </w:p>
    <w:p w14:paraId="06D54612" w14:textId="1FF3BFC5" w:rsidR="005F6CE9" w:rsidRPr="00D50868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O realizaciji odgojno-obrazovnog rada brine se 25 odgojiteljica na puno radno vrijeme, 1 odgojiteljica na pola radnog vremena, pedagoginja,</w:t>
      </w:r>
      <w:r w:rsidR="001D2B1A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psihologinja,</w:t>
      </w:r>
      <w:r w:rsidR="009452A0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zdra</w:t>
      </w:r>
      <w:r w:rsidR="001A2515" w:rsidRPr="00D50868">
        <w:rPr>
          <w:rFonts w:ascii="Times New Roman" w:eastAsia="Calibri" w:hAnsi="Times New Roman" w:cs="Times New Roman"/>
          <w:noProof/>
          <w:sz w:val="24"/>
          <w:szCs w:val="24"/>
        </w:rPr>
        <w:t>v</w:t>
      </w:r>
      <w:r w:rsidR="009452A0" w:rsidRPr="00D50868">
        <w:rPr>
          <w:rFonts w:ascii="Times New Roman" w:eastAsia="Calibri" w:hAnsi="Times New Roman" w:cs="Times New Roman"/>
          <w:noProof/>
          <w:sz w:val="24"/>
          <w:szCs w:val="24"/>
        </w:rPr>
        <w:t>stvena voditeljica</w:t>
      </w:r>
      <w:r w:rsidR="001D2B1A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te ravnateljica. Uprava Vrtića i tajništvo smješteno je u DV Vodnjan, dok je tehnički i pomoćni kadar od ukupno 1</w:t>
      </w:r>
      <w:r w:rsidR="001A2515" w:rsidRPr="00D50868">
        <w:rPr>
          <w:rFonts w:ascii="Times New Roman" w:eastAsia="Calibri" w:hAnsi="Times New Roman" w:cs="Times New Roman"/>
          <w:noProof/>
          <w:sz w:val="24"/>
          <w:szCs w:val="24"/>
        </w:rPr>
        <w:t>7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radnika raspoređen prema potrebi po objektima. </w:t>
      </w:r>
    </w:p>
    <w:p w14:paraId="3EEDDFA1" w14:textId="77777777" w:rsidR="005F6CE9" w:rsidRPr="00D50868" w:rsidRDefault="005F6CE9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6A8FB14" w14:textId="77777777" w:rsidR="00DA5746" w:rsidRPr="00D50868" w:rsidRDefault="00DA5746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BB51511" w14:textId="77777777" w:rsidR="00DA5746" w:rsidRPr="00D50868" w:rsidRDefault="00DA5746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CF60F1B" w14:textId="77777777" w:rsidR="00DA5746" w:rsidRPr="00D50868" w:rsidRDefault="005F6CE9" w:rsidP="005F6CE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D5086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ZAKONSKE I DRUGE PODLOGE NA KOJIMA SE ZASNIVA PROGRAM:</w:t>
      </w:r>
    </w:p>
    <w:p w14:paraId="16AE6829" w14:textId="77777777" w:rsidR="005F6CE9" w:rsidRPr="00D50868" w:rsidRDefault="005F6CE9" w:rsidP="005F6CE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BDEAF35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Državni pedagoški standard predškolskog odgoja i naobrazbe (NN 63/08, 90/10)</w:t>
      </w:r>
    </w:p>
    <w:p w14:paraId="68F45493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Nacionalni kurikulum za rani i predškolski odgoj i obrazovanje (NN 05/15)</w:t>
      </w:r>
    </w:p>
    <w:p w14:paraId="005D80D2" w14:textId="78A02A21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Obiteljski zakon ( NN 103/15, 98/19, 47/20, 49/23</w:t>
      </w:r>
      <w:r w:rsidR="00BC62B9" w:rsidRPr="00D50868">
        <w:rPr>
          <w:rFonts w:ascii="Times New Roman" w:eastAsia="Calibri" w:hAnsi="Times New Roman" w:cs="Times New Roman"/>
          <w:noProof/>
          <w:sz w:val="24"/>
          <w:szCs w:val="24"/>
        </w:rPr>
        <w:t>, 156/23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)</w:t>
      </w:r>
    </w:p>
    <w:p w14:paraId="1E239D9B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Zakon o predškolskom odgoju  i obrazovanju (NN 10/97, 107/07, 94/13, 98/19, 57/22, 101/23)</w:t>
      </w:r>
    </w:p>
    <w:p w14:paraId="57620851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Zakon o odgoju i obrazovanju na jeziku i pismu nacionalnih manjina (NN 51/00, 56/00)</w:t>
      </w:r>
    </w:p>
    <w:p w14:paraId="66E5FED0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Zakon o ustanovama (NN 76/93, 29/97, 47/99, 35/08, 127/19, 151/22)</w:t>
      </w:r>
      <w:r w:rsidRPr="00D50868">
        <w:rPr>
          <w:rFonts w:ascii="Times New Roman" w:eastAsia="Calibri" w:hAnsi="Times New Roman" w:cs="Times New Roman"/>
          <w:noProof/>
          <w:color w:val="414145"/>
          <w:sz w:val="21"/>
          <w:szCs w:val="21"/>
        </w:rPr>
        <w:t xml:space="preserve"> </w:t>
      </w:r>
    </w:p>
    <w:p w14:paraId="206D6747" w14:textId="295F8A0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Pravilnik o posebnim uvjetima i mjerilima ostvarivanja programa predškolskog odgoja 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i obrazovanja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(NN 84/21)</w:t>
      </w:r>
    </w:p>
    <w:p w14:paraId="201FCFFC" w14:textId="701F70FA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Pravilnik o načinu i uvjetima polaganja stručnog ispita odgojitelja i stručnih suradnika u dječjem vrtiću (NN 13/97, 4/98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, 84/24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)</w:t>
      </w:r>
    </w:p>
    <w:p w14:paraId="7F7AAB11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Pravilnik o vrsti stručne spreme stručnih djelatnika te vrsti i stupnju stručne spreme ostalih djelatnika u dječjem vrtiću (NN 133/97)</w:t>
      </w:r>
    </w:p>
    <w:p w14:paraId="2001B80B" w14:textId="0AFFF815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Pravilnik o 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postupku,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načinu i uvjetima 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za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napredovanj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u struci 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stjecanje položajnih zvanja odgojitelja, stručnih suradnika i ravnatelja u dječjem vrtiću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(NN 133/97, 20/05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>, 83/24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)</w:t>
      </w:r>
    </w:p>
    <w:p w14:paraId="7CFE440D" w14:textId="4660A010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Pravilnik o načinu raspolaganja sredstvima državnog proračuna i mjerilima sufinanciranja programa 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javnih potreba u području ranog i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predškolskog odgoja 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i obrazovanja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(NN 134/97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>, 141/22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)</w:t>
      </w:r>
    </w:p>
    <w:p w14:paraId="4185A08E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Pravilnik o obrascima i sadržaju pedagoške dokumentacije i evidencije o djeci u dječjem vrtiću (NN 83/01)</w:t>
      </w:r>
    </w:p>
    <w:p w14:paraId="3E6D4EEA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Program zdravstvene zaštite djece, higijene i pravilne prehrane djece u dječjim vrtićima (NN 105/02, 55/06, 121/07)</w:t>
      </w:r>
    </w:p>
    <w:p w14:paraId="02792CFF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Programsko usmjerenje odgoja i obrazovanja predškolske djece (Glasnik Ministarstva  prosvjete i kulture RH, broj 7/8 1991.)</w:t>
      </w:r>
    </w:p>
    <w:p w14:paraId="7DBFD8C6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Konvencija o pravima djeteta; Državni zavod za zaštitu obitelji, materinstva i mladeži, Zagreb, 2001.</w:t>
      </w:r>
    </w:p>
    <w:p w14:paraId="43EC0F3B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Zakon o lokalnoj i područnoj (regionalnoj) samoupravi (NN 33/01, 60/01, 129/05, 109/07, 125/08, 36/09, 36/09, 150/11, 144/12, 19/13, 137/15, 123/17, 98/19, 144/20)</w:t>
      </w:r>
    </w:p>
    <w:p w14:paraId="5211192F" w14:textId="77777777" w:rsidR="005F6CE9" w:rsidRPr="00D50868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Zakon o proračunu (NN 144/21)</w:t>
      </w:r>
    </w:p>
    <w:p w14:paraId="74FFF63D" w14:textId="6E11EB5B" w:rsidR="005F6CE9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Pravilnik o proračunskom računovodstvu i računskom planu</w:t>
      </w:r>
      <w:r w:rsidR="00E75EEC"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(1</w:t>
      </w:r>
      <w:r w:rsidR="00007048">
        <w:rPr>
          <w:rFonts w:ascii="Times New Roman" w:eastAsia="Calibri" w:hAnsi="Times New Roman" w:cs="Times New Roman"/>
          <w:noProof/>
          <w:sz w:val="24"/>
          <w:szCs w:val="24"/>
        </w:rPr>
        <w:t>58/23)</w:t>
      </w:r>
    </w:p>
    <w:p w14:paraId="3C150C8C" w14:textId="2E3539B9" w:rsidR="00D73D7F" w:rsidRPr="00D50868" w:rsidRDefault="00D73D7F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Upute za izradu proračuna Grada Vodnjan – Dignano za razdoblje 2025.-2027. godine</w:t>
      </w:r>
    </w:p>
    <w:p w14:paraId="1A967E05" w14:textId="77777777" w:rsidR="005F6CE9" w:rsidRPr="00D50868" w:rsidRDefault="005F6CE9" w:rsidP="005F6CE9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A6D4309" w14:textId="77777777" w:rsidR="00DF3662" w:rsidRPr="00D50868" w:rsidRDefault="00DF3662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6CB1731A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E99AD8B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8A3AC81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A1D7FD8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8BE570A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91DDEBD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9F6FD23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359E095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A09AF2A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0919B7A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D065A28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7BD8B45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D94AEA2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BFC4B26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8DBE9E3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7A897AF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9CFF5D4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A16BD61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56BF346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960B7BE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75E2D8" w14:textId="77777777" w:rsidR="00DA5746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3491F21" w14:textId="77777777" w:rsidR="005F6199" w:rsidRDefault="005F6199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73C3304" w14:textId="77777777" w:rsidR="005F6199" w:rsidRDefault="005F6199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B7E0E60" w14:textId="77777777" w:rsidR="005F6199" w:rsidRPr="00D50868" w:rsidRDefault="005F6199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B8C44BF" w14:textId="77777777" w:rsidR="00DA5746" w:rsidRPr="00D50868" w:rsidRDefault="00DA5746" w:rsidP="00DF3662">
      <w:pPr>
        <w:spacing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079E32C" w14:textId="77777777" w:rsidR="005F6199" w:rsidRDefault="005F6199" w:rsidP="00DF3662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F3629C8" w14:textId="77777777" w:rsidR="00DF3662" w:rsidRPr="00D50868" w:rsidRDefault="00DF3662" w:rsidP="00DF3662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CILJEVI, STRATEGIJA  I PROGRAMI:</w:t>
      </w:r>
    </w:p>
    <w:p w14:paraId="1BEDA1B2" w14:textId="77777777" w:rsidR="00DF3662" w:rsidRDefault="00DF3662" w:rsidP="00DF3662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F0CB951" w14:textId="77777777" w:rsidR="005F6199" w:rsidRPr="00D50868" w:rsidRDefault="005F6199" w:rsidP="00DF3662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DF3662" w:rsidRPr="00D50868" w14:paraId="50433354" w14:textId="77777777" w:rsidTr="00D209F4">
        <w:trPr>
          <w:trHeight w:val="9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DA72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CILJEVI</w:t>
            </w:r>
          </w:p>
          <w:p w14:paraId="4CA90468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PROVEDBE </w:t>
            </w:r>
          </w:p>
          <w:p w14:paraId="0B1ADE14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PROGRAMA</w:t>
            </w:r>
          </w:p>
          <w:p w14:paraId="20C66602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6440BCD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B85B6B4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3BEDB5A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BF1DBDF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88CBB20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F38E8C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FB0551E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ABE4BF2" w14:textId="77777777" w:rsidR="00DF3662" w:rsidRPr="00D50868" w:rsidRDefault="00DF3662" w:rsidP="00D20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REDOVITI PROGRAM PREDŠKOLSKOG</w:t>
            </w:r>
          </w:p>
          <w:p w14:paraId="61745A0E" w14:textId="77777777" w:rsidR="00DF3662" w:rsidRPr="00D50868" w:rsidRDefault="00DF3662" w:rsidP="00D20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OBRAZOVANJA</w:t>
            </w:r>
          </w:p>
          <w:p w14:paraId="47AFAE71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800270C" w14:textId="77777777" w:rsidR="00DF3662" w:rsidRPr="00D50868" w:rsidRDefault="00DF3662" w:rsidP="00D209F4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8E6E188" w14:textId="77777777" w:rsidR="00DF3662" w:rsidRPr="00D50868" w:rsidRDefault="00DF3662" w:rsidP="00D209F4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SREDSTVA ZA REALIZACIJU PROGRAMA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0701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Potrebno je osigurati sredstva i </w:t>
            </w:r>
            <w:r w:rsidRPr="00D5086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izdatke </w:t>
            </w: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 zaposlene, te materijalne i financijske rashode za potrebe djelatnosti sukladno standardima u:</w:t>
            </w:r>
          </w:p>
          <w:p w14:paraId="1784A116" w14:textId="77777777" w:rsidR="00DF3662" w:rsidRPr="00D50868" w:rsidRDefault="00DF3662" w:rsidP="00DF3662">
            <w:pPr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Redovitim programima u dječjem vrtiću (10-satni program i 6- satni program)</w:t>
            </w:r>
          </w:p>
          <w:p w14:paraId="562475E0" w14:textId="45F48A5B" w:rsidR="00DF3662" w:rsidRPr="00D50868" w:rsidRDefault="0056094E" w:rsidP="00DF3662">
            <w:pPr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Minimalni</w:t>
            </w:r>
            <w:r w:rsidR="00DF3662"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 predškole </w:t>
            </w:r>
          </w:p>
          <w:p w14:paraId="4FCAE4A5" w14:textId="77777777" w:rsidR="00DF3662" w:rsidRPr="00D50868" w:rsidRDefault="00DF3662" w:rsidP="00D209F4">
            <w:pPr>
              <w:ind w:left="7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5B278B7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Unapređivati kvalitetu odgojno-obrazovnog rada kontinuiranim istraživanjem, refleksijom i samo-refleksijom, ulaganjem u cjeloživotno obrazovanje i edukacije svih zaposlenika te osiguravanjem  svih materijalnih  uvjeta i  kvalitetne ishrane  u cilju  djetetove osobne (emocionalne i tjelesne), obrazovne i socijalne dobrobiti te njegovom cjelovitom razvoju, odgoju i učenju.</w:t>
            </w:r>
          </w:p>
          <w:p w14:paraId="1ACDD81A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Zaposlen je dovoljan broj stručnih djelatnika.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177"/>
            </w:tblGrid>
            <w:tr w:rsidR="00DA5746" w:rsidRPr="00D50868" w14:paraId="51CB4DAF" w14:textId="77777777" w:rsidTr="00DA5746">
              <w:trPr>
                <w:trHeight w:val="476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F45056" w14:textId="77777777" w:rsidR="00DA5746" w:rsidRPr="005F6199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AA25F" w14:textId="2ED0C752" w:rsidR="00DA5746" w:rsidRPr="005F6199" w:rsidRDefault="005F6199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Plan 2025</w:t>
                  </w:r>
                  <w:r w:rsidR="00DA5746"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. s projekcijama</w:t>
                  </w:r>
                </w:p>
                <w:p w14:paraId="53F3FA04" w14:textId="1EF5E7FA" w:rsidR="00DA5746" w:rsidRPr="005F6199" w:rsidRDefault="005F6199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 xml:space="preserve"> za 2026. i 2027</w:t>
                  </w:r>
                  <w:r w:rsidR="00DA5746"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.g</w:t>
                  </w:r>
                </w:p>
              </w:tc>
            </w:tr>
            <w:tr w:rsidR="00DA5746" w:rsidRPr="00D50868" w14:paraId="4F7C44D9" w14:textId="77777777" w:rsidTr="00DA5746">
              <w:trPr>
                <w:trHeight w:val="484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0116E" w14:textId="2FE01818" w:rsidR="00DA5746" w:rsidRPr="005F6199" w:rsidRDefault="005F6199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59A785" w14:textId="76308E90" w:rsidR="00DA5746" w:rsidRPr="005F6199" w:rsidRDefault="00DA5746" w:rsidP="005F619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1.</w:t>
                  </w:r>
                  <w:r w:rsidR="005F6199"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575.300</w:t>
                  </w: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,00 eura</w:t>
                  </w:r>
                </w:p>
              </w:tc>
            </w:tr>
            <w:tr w:rsidR="00DA5746" w:rsidRPr="00D50868" w14:paraId="71511E25" w14:textId="77777777" w:rsidTr="00DA5746">
              <w:trPr>
                <w:trHeight w:val="417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6A2720" w14:textId="0F481CCE" w:rsidR="00DA5746" w:rsidRPr="005F6199" w:rsidRDefault="005F6199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6BDEDA" w14:textId="38CAA8EB" w:rsidR="00DA5746" w:rsidRPr="005F6199" w:rsidRDefault="005F6199" w:rsidP="005F619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1.590.3</w:t>
                  </w:r>
                  <w:r w:rsidR="00DA5746"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00,00 eura</w:t>
                  </w:r>
                </w:p>
              </w:tc>
            </w:tr>
            <w:tr w:rsidR="00DA5746" w:rsidRPr="00D50868" w14:paraId="238CF7A5" w14:textId="77777777" w:rsidTr="00DA5746">
              <w:trPr>
                <w:trHeight w:val="353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FE602F" w14:textId="7EC459ED" w:rsidR="00DA5746" w:rsidRPr="005F6199" w:rsidRDefault="005F6199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BCD6E5" w14:textId="761A07B8" w:rsidR="00DA5746" w:rsidRPr="005F6199" w:rsidRDefault="005F6199" w:rsidP="005F619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1.590.3</w:t>
                  </w:r>
                  <w:r w:rsidR="00DA5746" w:rsidRPr="005F6199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00,00 eura</w:t>
                  </w:r>
                </w:p>
              </w:tc>
            </w:tr>
          </w:tbl>
          <w:p w14:paraId="72053082" w14:textId="77777777" w:rsidR="00DF3662" w:rsidRPr="00D50868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F41F439" w14:textId="05F7C086" w:rsidR="00DF3662" w:rsidRPr="0056094E" w:rsidRDefault="00DF3662" w:rsidP="005F61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 w:rsidRPr="00D508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Sredstva za plaće zaposlenih planirana su sukladno broju zaposlenih i </w:t>
            </w:r>
            <w:r w:rsidRP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koeficijentima radnih mjesta.</w:t>
            </w:r>
            <w:r w:rsid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Materijalni i financijski rashodi planirani su na osnovu realnih rashoda i proračuna za prethodnu godinu. Odstupanje planiranog projekcijom prethodne godine i</w:t>
            </w:r>
            <w:r w:rsid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planiranog ove godine je radi </w:t>
            </w:r>
            <w:r w:rsidRP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povećanja </w:t>
            </w:r>
            <w:r w:rsid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koeficjenata za obračun plaće</w:t>
            </w:r>
            <w:r w:rsidRPr="005F61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te povećanja svih materijalnih rashoda i usluga.</w:t>
            </w:r>
          </w:p>
        </w:tc>
      </w:tr>
    </w:tbl>
    <w:p w14:paraId="006825D2" w14:textId="77777777" w:rsidR="00DF3662" w:rsidRDefault="00DF3662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DFA3E42" w14:textId="77777777" w:rsidR="005F6199" w:rsidRDefault="005F6199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4334B76" w14:textId="77777777" w:rsidR="005F6199" w:rsidRDefault="005F6199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EE2AD7C" w14:textId="77777777" w:rsidR="005F6199" w:rsidRDefault="005F6199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92629B1" w14:textId="77777777" w:rsidR="005F6199" w:rsidRDefault="005F6199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81A3541" w14:textId="77777777" w:rsidR="005F6199" w:rsidRPr="00D50868" w:rsidRDefault="005F6199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DF3662" w:rsidRPr="00D50868" w14:paraId="4F4A218E" w14:textId="77777777" w:rsidTr="00DF3662">
        <w:tc>
          <w:tcPr>
            <w:tcW w:w="3085" w:type="dxa"/>
          </w:tcPr>
          <w:p w14:paraId="367F987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580A043F" w14:textId="77777777" w:rsidR="00DF3662" w:rsidRPr="00D50868" w:rsidRDefault="00DF3662" w:rsidP="00DF3662">
            <w:pPr>
              <w:spacing w:line="276" w:lineRule="auto"/>
              <w:rPr>
                <w:rFonts w:eastAsia="Calibri"/>
                <w:b/>
                <w:noProof/>
                <w:sz w:val="24"/>
                <w:szCs w:val="24"/>
              </w:rPr>
            </w:pPr>
            <w:r w:rsidRPr="00D50868">
              <w:rPr>
                <w:rFonts w:eastAsia="Calibri"/>
                <w:b/>
                <w:noProof/>
                <w:sz w:val="24"/>
                <w:szCs w:val="24"/>
              </w:rPr>
              <w:t xml:space="preserve">SKRAĆENI PROGRAM </w:t>
            </w:r>
          </w:p>
          <w:p w14:paraId="1351D163" w14:textId="77777777" w:rsidR="00DF3662" w:rsidRPr="00D50868" w:rsidRDefault="00DF3662" w:rsidP="00DF3662">
            <w:pPr>
              <w:spacing w:line="276" w:lineRule="auto"/>
              <w:rPr>
                <w:rFonts w:eastAsia="Calibri"/>
                <w:b/>
                <w:noProof/>
                <w:sz w:val="24"/>
                <w:szCs w:val="24"/>
              </w:rPr>
            </w:pPr>
            <w:r w:rsidRPr="00D50868">
              <w:rPr>
                <w:rFonts w:eastAsia="Calibri"/>
                <w:b/>
                <w:noProof/>
                <w:sz w:val="24"/>
                <w:szCs w:val="24"/>
              </w:rPr>
              <w:t>PREDŠKOLE</w:t>
            </w:r>
          </w:p>
          <w:p w14:paraId="44DA770A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0C159DB1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344F47B9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607F556D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 xml:space="preserve">SREDSTVA ZA </w:t>
            </w:r>
          </w:p>
          <w:p w14:paraId="0FFD32E8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REALIZACIJU</w:t>
            </w:r>
          </w:p>
          <w:p w14:paraId="7F96AEDE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PROGRAMA</w:t>
            </w:r>
          </w:p>
          <w:p w14:paraId="52BF6A84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14662B23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2E91A7BF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 xml:space="preserve">POKAZATELJI </w:t>
            </w:r>
          </w:p>
          <w:p w14:paraId="24DD0F8C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USPJEŠNOSTI</w:t>
            </w:r>
          </w:p>
          <w:p w14:paraId="4FAA3A6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5090A697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5853C8C5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214A0635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2FDCF486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4A9D8747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185B9D64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0DB1BCB4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76A101C8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19CE3EE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1851123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7935AFE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1BAB54BE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 xml:space="preserve">ODGOVORNE </w:t>
            </w:r>
          </w:p>
          <w:p w14:paraId="16DECCAD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OSOBE ZA</w:t>
            </w:r>
          </w:p>
          <w:p w14:paraId="7C5EBF8B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REALIZACIJU</w:t>
            </w:r>
          </w:p>
          <w:p w14:paraId="59E72843" w14:textId="77777777" w:rsidR="00DF3662" w:rsidRPr="00D50868" w:rsidRDefault="00DF3662" w:rsidP="00DF3662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PROGRAMA</w:t>
            </w:r>
          </w:p>
          <w:p w14:paraId="14007A6B" w14:textId="77777777" w:rsidR="00DF3662" w:rsidRPr="00D50868" w:rsidRDefault="00DF3662" w:rsidP="006511FF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203" w:type="dxa"/>
          </w:tcPr>
          <w:p w14:paraId="716519C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4E9C0A37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Osnovna zadaća programa predškole je razvijanje i unaprjeđivanje tjelesnih, emocionalnih, socijalnih i spoznajnih potencijala djeteta u godini pred polazak u školu.</w:t>
            </w:r>
          </w:p>
          <w:p w14:paraId="5340CF19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7855DA3B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10A1F5B5" w14:textId="77777777" w:rsidR="00DF3662" w:rsidRPr="00AD18E9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AD18E9">
              <w:rPr>
                <w:rFonts w:eastAsia="Calibri"/>
                <w:noProof/>
                <w:sz w:val="24"/>
                <w:szCs w:val="24"/>
              </w:rPr>
              <w:t xml:space="preserve">1.600,00  eur </w:t>
            </w:r>
          </w:p>
          <w:p w14:paraId="305BE65D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50A14DCF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-potpuna usklađenost sa Državnim pedagoškim standardom u pogledu odnosa broja odgojitelja i broja djece</w:t>
            </w:r>
          </w:p>
          <w:p w14:paraId="5732D7BD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-zadovoljenje svih djetetovih potreba</w:t>
            </w:r>
          </w:p>
          <w:p w14:paraId="548B49D2" w14:textId="74FEBF52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-poticajno materijalno okruženje obogaćeno mnoštvom materijala, didaktike i sredstvima za rad</w:t>
            </w:r>
          </w:p>
          <w:p w14:paraId="7E9BE729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-stručna usavršavanja odgojitelja, stručnih suradnika, ravnatelja te djelatnika tajništva i računovodstva</w:t>
            </w:r>
          </w:p>
          <w:p w14:paraId="3E0002FC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-stalna kontrola ispravnosti hrane od strane Zavoda za javno zdravstvo</w:t>
            </w:r>
          </w:p>
          <w:p w14:paraId="217F5763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-veća uključenost u suradnju sa društvenom zajednicom</w:t>
            </w:r>
          </w:p>
          <w:p w14:paraId="2D4842A3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 xml:space="preserve">-razvoj partnerskih odnosa s roditeljima i obitelji djece, veća uključenost istih u odgojno – obrazovni rad  </w:t>
            </w:r>
          </w:p>
          <w:p w14:paraId="4831409B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 xml:space="preserve">-povećanje broja odlazaka posjeta različitim organizacijama </w:t>
            </w:r>
          </w:p>
          <w:p w14:paraId="24884889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-sanacija i kontinuirano održavanje svih objekata</w:t>
            </w:r>
          </w:p>
          <w:p w14:paraId="1B537B86" w14:textId="124B6786" w:rsidR="00DF3662" w:rsidRPr="00D50868" w:rsidRDefault="0056094E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-</w:t>
            </w:r>
            <w:r w:rsidR="00DF3662" w:rsidRPr="00D50868">
              <w:rPr>
                <w:rFonts w:eastAsia="Calibri"/>
                <w:noProof/>
                <w:sz w:val="24"/>
                <w:szCs w:val="24"/>
              </w:rPr>
              <w:t>ulaganje u opremu</w:t>
            </w:r>
          </w:p>
          <w:p w14:paraId="6CB68FA8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32B200EA" w14:textId="77777777" w:rsidR="00DF3662" w:rsidRPr="00D50868" w:rsidRDefault="00DF3662" w:rsidP="00DF3662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</w:rPr>
            </w:pPr>
          </w:p>
          <w:p w14:paraId="71D9E599" w14:textId="77777777" w:rsidR="00DF3662" w:rsidRPr="00D50868" w:rsidRDefault="00DF3662" w:rsidP="00DF3662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D50868">
              <w:rPr>
                <w:rFonts w:eastAsia="Calibri"/>
                <w:noProof/>
                <w:sz w:val="24"/>
                <w:szCs w:val="24"/>
              </w:rPr>
              <w:t>Ravnateljica i stručni djelatnici</w:t>
            </w:r>
          </w:p>
        </w:tc>
      </w:tr>
    </w:tbl>
    <w:p w14:paraId="69F631E7" w14:textId="77777777" w:rsidR="00DF3662" w:rsidRPr="00D50868" w:rsidRDefault="00DF3662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E56BA6" w14:textId="77777777" w:rsidR="00DF3662" w:rsidRPr="00D50868" w:rsidRDefault="00DF3662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05F7508" w14:textId="77777777" w:rsidR="00DF3662" w:rsidRPr="00D50868" w:rsidRDefault="00DF3662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9197073" w14:textId="77777777" w:rsidR="00DF3662" w:rsidRPr="00D50868" w:rsidRDefault="00DF3662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FBBCA1" w14:textId="77777777" w:rsidR="00DF3662" w:rsidRPr="00D50868" w:rsidRDefault="00DF3662" w:rsidP="00DF3662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ISHODIŠTE  I POKAZATELJI  NA KOJIMA SE ZASNIVAJU IZRAČUNI I OCJENE POTREBNIH SREDSTAVA ZA PROVOĐENJE PROGRAMA</w:t>
      </w:r>
    </w:p>
    <w:p w14:paraId="17801F98" w14:textId="77777777" w:rsidR="00DF3662" w:rsidRPr="00D50868" w:rsidRDefault="00DF3662" w:rsidP="00DF3662">
      <w:pPr>
        <w:spacing w:line="36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</w:p>
    <w:p w14:paraId="2948B90D" w14:textId="77777777" w:rsidR="00DF3662" w:rsidRPr="00D50868" w:rsidRDefault="00DF3662" w:rsidP="00DF3662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Materijalni uvjeti rada u ustanovi osiguravaju se iz sredstava proračuna Grada Vodnjana-Dignano i participacije korisnika usluga, iz sredstava doznačenih iz Državnog proračuna koji se namjenski doznačuju za sufinanciranje troškova provođenja programa za talijansku nacionalnu manjinu, provođenje programa predškole,</w:t>
      </w:r>
      <w:r w:rsidRPr="00D50868">
        <w:rPr>
          <w:rFonts w:ascii="Times New Roman" w:hAnsi="Times New Roman" w:cs="Times New Roman"/>
          <w:noProof/>
          <w:sz w:val="24"/>
          <w:szCs w:val="24"/>
        </w:rPr>
        <w:t xml:space="preserve"> program za djecu sa posebnim potrebama</w:t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 xml:space="preserve"> i program za potencijalno darovitu djecu. Roditelji uplaćuju mjesečno učešće za korištenje 10-satnog programa odnosno 6-satnog programa. Roditelji nadalje ostvaruju subvencije u slučaju da su korisnici dječjeg doplatka, socijalne pomoći, za drugo dijete itd. prema socijalnom programu Grada Vodnjana-Dignano. Odlukama Upravnog vijeća ustanove oslobađa se korisnika usluge plaćanja pune mjesečne cijene programa ako je dijete na bolovanju duže od 30 dana.</w:t>
      </w:r>
    </w:p>
    <w:p w14:paraId="65EFEF5A" w14:textId="02E90C36" w:rsidR="00DF3662" w:rsidRPr="00D50868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tab/>
      </w:r>
      <w:r w:rsidRPr="00D50868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tab/>
      </w:r>
      <w:r w:rsidRPr="00D50868">
        <w:rPr>
          <w:rFonts w:ascii="Times New Roman" w:hAnsi="Times New Roman" w:cs="Times New Roman"/>
          <w:noProof/>
          <w:sz w:val="24"/>
          <w:szCs w:val="24"/>
        </w:rPr>
        <w:t>U pedagoškoj 202</w:t>
      </w:r>
      <w:r w:rsidR="009452A0" w:rsidRPr="00D50868">
        <w:rPr>
          <w:rFonts w:ascii="Times New Roman" w:hAnsi="Times New Roman" w:cs="Times New Roman"/>
          <w:noProof/>
          <w:sz w:val="24"/>
          <w:szCs w:val="24"/>
        </w:rPr>
        <w:t>4</w:t>
      </w:r>
      <w:r w:rsidRPr="00D50868">
        <w:rPr>
          <w:rFonts w:ascii="Times New Roman" w:hAnsi="Times New Roman" w:cs="Times New Roman"/>
          <w:noProof/>
          <w:sz w:val="24"/>
          <w:szCs w:val="24"/>
        </w:rPr>
        <w:t>./202</w:t>
      </w:r>
      <w:r w:rsidR="009452A0" w:rsidRPr="00D50868">
        <w:rPr>
          <w:rFonts w:ascii="Times New Roman" w:hAnsi="Times New Roman" w:cs="Times New Roman"/>
          <w:noProof/>
          <w:sz w:val="24"/>
          <w:szCs w:val="24"/>
        </w:rPr>
        <w:t>5</w:t>
      </w:r>
      <w:r w:rsidRPr="00D50868">
        <w:rPr>
          <w:rFonts w:ascii="Times New Roman" w:hAnsi="Times New Roman" w:cs="Times New Roman"/>
          <w:noProof/>
          <w:sz w:val="24"/>
          <w:szCs w:val="24"/>
        </w:rPr>
        <w:t xml:space="preserve">. godini u D.V.-S.I. Petar Pan Vodnjan-Dignano svi programi ostvarivati će odgojno-obrazovni rad kroz globalne sadržaje i aktivnosti, usklađene s individualnim potrebama, razvojnim mogućnostima i interesima djece, a u odnosu na dobrobiti djece. Kroz različite aktivnosti poticati će se djecu da razvijaju sljedeće kompetencije: komunikacija na materinskom jeziku, elementarnu komunikaciju na stranim jezicima, matematičke kompetencije i osnovne kompetencije u prirodoslovlju i tehnologiji, digitalne kompetencije, socijalne i građanske kompetencije, inicijativnost i poduzetništvo, kulturnu svijest i izražavanje te motoričke kompetencije primjerene dobi. </w:t>
      </w:r>
    </w:p>
    <w:p w14:paraId="40BE4269" w14:textId="77777777" w:rsidR="00DF3662" w:rsidRPr="00D50868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0868">
        <w:rPr>
          <w:rFonts w:ascii="Times New Roman" w:hAnsi="Times New Roman" w:cs="Times New Roman"/>
          <w:noProof/>
          <w:sz w:val="24"/>
          <w:szCs w:val="24"/>
        </w:rPr>
        <w:tab/>
      </w:r>
      <w:r w:rsidRPr="00D50868">
        <w:rPr>
          <w:rFonts w:ascii="Times New Roman" w:hAnsi="Times New Roman" w:cs="Times New Roman"/>
          <w:noProof/>
          <w:sz w:val="24"/>
          <w:szCs w:val="24"/>
        </w:rPr>
        <w:tab/>
        <w:t>Načela na koja je stavljen naglasak prilikom planiranja i organiziranja odgojno-obrazovnog rada su otvorenost za kontinuirano učenje i spremnost na unapređivanje prakse.</w:t>
      </w:r>
    </w:p>
    <w:p w14:paraId="5E069381" w14:textId="77777777" w:rsidR="00DF3662" w:rsidRPr="00D50868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3A1699" w14:textId="77777777" w:rsidR="00DF3662" w:rsidRPr="00D50868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81A50D" w14:textId="77777777" w:rsidR="00DF3662" w:rsidRPr="00D50868" w:rsidRDefault="00DF3662" w:rsidP="00DF3662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0868">
        <w:rPr>
          <w:rFonts w:ascii="Times New Roman" w:hAnsi="Times New Roman" w:cs="Times New Roman"/>
          <w:b/>
          <w:noProof/>
          <w:sz w:val="24"/>
          <w:szCs w:val="24"/>
        </w:rPr>
        <w:t>IZVJEŠTAJ O POSTIGNUTIM CILJEVIMA I REZULTATIMA PROGRAMA</w:t>
      </w:r>
      <w:bookmarkStart w:id="1" w:name="_Toc426215013"/>
      <w:bookmarkStart w:id="2" w:name="_Toc523122566"/>
    </w:p>
    <w:p w14:paraId="5CA5C9C6" w14:textId="77777777" w:rsidR="00DF3662" w:rsidRPr="00D50868" w:rsidRDefault="00DF3662" w:rsidP="00DF3662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F3A99E7" w14:textId="77777777" w:rsidR="00DF3662" w:rsidRPr="00D50868" w:rsidRDefault="00DF3662" w:rsidP="00DF3662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U odgojno-obrazovnom rad</w:t>
      </w:r>
      <w:bookmarkEnd w:id="1"/>
      <w:bookmarkEnd w:id="2"/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u realizirani su sljedeći ciljevi i rezultati programa:</w:t>
      </w:r>
    </w:p>
    <w:p w14:paraId="662F1F1D" w14:textId="77777777" w:rsidR="00DF3662" w:rsidRPr="00D50868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D50868">
        <w:rPr>
          <w:bCs/>
          <w:noProof/>
          <w:szCs w:val="24"/>
          <w:lang w:val="hr-HR"/>
        </w:rPr>
        <w:t>oblikovanje poticajnog prostorno-materijalnog i socijalnog okruženja u funkciji igre i učenja djece</w:t>
      </w:r>
    </w:p>
    <w:p w14:paraId="70B63F18" w14:textId="4C70E366" w:rsidR="00D50868" w:rsidRPr="00FA227E" w:rsidRDefault="00D50868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FA227E">
        <w:rPr>
          <w:noProof/>
          <w:szCs w:val="24"/>
          <w:lang w:val="hr-HR"/>
        </w:rPr>
        <w:t>poticanje i kreiranje iskustvenog učenja djeteta o okolišu i očuvanju prirode kroz odgoj za održivi razvoj</w:t>
      </w:r>
      <w:r w:rsidR="00FA227E">
        <w:rPr>
          <w:noProof/>
          <w:szCs w:val="24"/>
          <w:lang w:val="hr-HR"/>
        </w:rPr>
        <w:t xml:space="preserve"> te projekt „Senzorni park, didaktička farma i vrt“</w:t>
      </w:r>
      <w:r w:rsidRPr="00FA227E">
        <w:rPr>
          <w:noProof/>
          <w:szCs w:val="24"/>
          <w:lang w:val="hr-HR"/>
        </w:rPr>
        <w:t>;</w:t>
      </w:r>
    </w:p>
    <w:p w14:paraId="580D63F0" w14:textId="77777777" w:rsidR="00D50868" w:rsidRPr="00FA227E" w:rsidRDefault="00D50868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FA227E">
        <w:rPr>
          <w:noProof/>
          <w:szCs w:val="24"/>
          <w:lang w:val="hr-HR"/>
        </w:rPr>
        <w:t xml:space="preserve">poticanje svakodnevnog boravka u prirodi te igru prirodnim i neoblikovanim materijalom; </w:t>
      </w:r>
    </w:p>
    <w:p w14:paraId="551464A8" w14:textId="77777777" w:rsidR="00D50868" w:rsidRPr="00FA227E" w:rsidRDefault="00D50868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FA227E">
        <w:rPr>
          <w:noProof/>
          <w:szCs w:val="24"/>
          <w:lang w:val="hr-HR"/>
        </w:rPr>
        <w:lastRenderedPageBreak/>
        <w:t xml:space="preserve">poticanje tjelesne i psihomotorne kompetencije djeteta kroz projekt „Budi aktivan, budi zdrav“; </w:t>
      </w:r>
    </w:p>
    <w:p w14:paraId="137DCB53" w14:textId="6CAC1B0B" w:rsidR="00D50868" w:rsidRPr="00FA227E" w:rsidRDefault="00D50868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FA227E">
        <w:rPr>
          <w:noProof/>
          <w:szCs w:val="24"/>
          <w:lang w:val="hr-HR"/>
        </w:rPr>
        <w:t>poticanje djeteta na očuvanje povijesnih i kulturnih stečevina našeg kraja</w:t>
      </w:r>
      <w:r w:rsidR="00FA227E">
        <w:rPr>
          <w:noProof/>
          <w:szCs w:val="24"/>
          <w:lang w:val="hr-HR"/>
        </w:rPr>
        <w:t xml:space="preserve"> kroz projekt „Naše malo misto“</w:t>
      </w:r>
      <w:r w:rsidR="009F10C6">
        <w:rPr>
          <w:noProof/>
          <w:szCs w:val="24"/>
          <w:lang w:val="hr-HR"/>
        </w:rPr>
        <w:t xml:space="preserve"> i sudjelovanjem u projektu </w:t>
      </w:r>
      <w:proofErr w:type="spellStart"/>
      <w:r w:rsidR="009F10C6" w:rsidRPr="00EB2A9F">
        <w:rPr>
          <w:szCs w:val="24"/>
        </w:rPr>
        <w:t>Istarske</w:t>
      </w:r>
      <w:proofErr w:type="spellEnd"/>
      <w:r w:rsidR="009F10C6" w:rsidRPr="00EB2A9F">
        <w:rPr>
          <w:szCs w:val="24"/>
        </w:rPr>
        <w:t xml:space="preserve"> </w:t>
      </w:r>
      <w:proofErr w:type="spellStart"/>
      <w:r w:rsidR="009F10C6" w:rsidRPr="00EB2A9F">
        <w:rPr>
          <w:szCs w:val="24"/>
        </w:rPr>
        <w:t>županije</w:t>
      </w:r>
      <w:proofErr w:type="spellEnd"/>
      <w:r w:rsidR="009F10C6" w:rsidRPr="00EB2A9F">
        <w:rPr>
          <w:szCs w:val="24"/>
        </w:rPr>
        <w:t xml:space="preserve"> pod </w:t>
      </w:r>
      <w:proofErr w:type="spellStart"/>
      <w:r w:rsidR="009F10C6" w:rsidRPr="00EB2A9F">
        <w:rPr>
          <w:szCs w:val="24"/>
        </w:rPr>
        <w:t>nazivom</w:t>
      </w:r>
      <w:proofErr w:type="spellEnd"/>
      <w:r w:rsidR="009F10C6" w:rsidRPr="00EB2A9F">
        <w:rPr>
          <w:szCs w:val="24"/>
        </w:rPr>
        <w:t xml:space="preserve"> „</w:t>
      </w:r>
      <w:proofErr w:type="spellStart"/>
      <w:r w:rsidR="009F10C6" w:rsidRPr="00EB2A9F">
        <w:rPr>
          <w:szCs w:val="24"/>
        </w:rPr>
        <w:t>Istra</w:t>
      </w:r>
      <w:proofErr w:type="spellEnd"/>
      <w:r w:rsidR="009F10C6" w:rsidRPr="00EB2A9F">
        <w:rPr>
          <w:szCs w:val="24"/>
        </w:rPr>
        <w:t xml:space="preserve"> u </w:t>
      </w:r>
      <w:proofErr w:type="spellStart"/>
      <w:r w:rsidR="009F10C6" w:rsidRPr="00EB2A9F">
        <w:rPr>
          <w:szCs w:val="24"/>
        </w:rPr>
        <w:t>očima</w:t>
      </w:r>
      <w:proofErr w:type="spellEnd"/>
      <w:r w:rsidR="009F10C6" w:rsidRPr="00EB2A9F">
        <w:rPr>
          <w:szCs w:val="24"/>
        </w:rPr>
        <w:t xml:space="preserve"> </w:t>
      </w:r>
      <w:proofErr w:type="spellStart"/>
      <w:r w:rsidR="009F10C6" w:rsidRPr="00EB2A9F">
        <w:rPr>
          <w:szCs w:val="24"/>
        </w:rPr>
        <w:t>djece</w:t>
      </w:r>
      <w:proofErr w:type="spellEnd"/>
      <w:r w:rsidR="009F10C6" w:rsidRPr="00EB2A9F">
        <w:rPr>
          <w:szCs w:val="24"/>
        </w:rPr>
        <w:t xml:space="preserve"> - </w:t>
      </w:r>
      <w:proofErr w:type="spellStart"/>
      <w:r w:rsidR="009F10C6" w:rsidRPr="00EB2A9F">
        <w:rPr>
          <w:szCs w:val="24"/>
        </w:rPr>
        <w:t>tradicija</w:t>
      </w:r>
      <w:proofErr w:type="spellEnd"/>
      <w:r w:rsidR="009F10C6" w:rsidRPr="00EB2A9F">
        <w:rPr>
          <w:szCs w:val="24"/>
        </w:rPr>
        <w:t xml:space="preserve"> </w:t>
      </w:r>
      <w:proofErr w:type="spellStart"/>
      <w:r w:rsidR="009F10C6" w:rsidRPr="00EB2A9F">
        <w:rPr>
          <w:szCs w:val="24"/>
        </w:rPr>
        <w:t>iz</w:t>
      </w:r>
      <w:proofErr w:type="spellEnd"/>
      <w:r w:rsidR="009F10C6" w:rsidRPr="00EB2A9F">
        <w:rPr>
          <w:szCs w:val="24"/>
        </w:rPr>
        <w:t xml:space="preserve"> </w:t>
      </w:r>
      <w:proofErr w:type="spellStart"/>
      <w:r w:rsidR="009F10C6" w:rsidRPr="00EB2A9F">
        <w:rPr>
          <w:szCs w:val="24"/>
        </w:rPr>
        <w:t>naših</w:t>
      </w:r>
      <w:proofErr w:type="spellEnd"/>
      <w:r w:rsidR="009F10C6" w:rsidRPr="00EB2A9F">
        <w:rPr>
          <w:szCs w:val="24"/>
        </w:rPr>
        <w:t xml:space="preserve"> </w:t>
      </w:r>
      <w:proofErr w:type="spellStart"/>
      <w:r w:rsidR="009F10C6" w:rsidRPr="00EB2A9F">
        <w:rPr>
          <w:szCs w:val="24"/>
        </w:rPr>
        <w:t>ruku</w:t>
      </w:r>
      <w:proofErr w:type="spellEnd"/>
      <w:r w:rsidR="009F10C6" w:rsidRPr="00EB2A9F">
        <w:rPr>
          <w:szCs w:val="24"/>
        </w:rPr>
        <w:t>“</w:t>
      </w:r>
      <w:r w:rsidR="009F10C6">
        <w:rPr>
          <w:szCs w:val="24"/>
        </w:rPr>
        <w:t xml:space="preserve"> </w:t>
      </w:r>
      <w:proofErr w:type="spellStart"/>
      <w:r w:rsidR="009F10C6">
        <w:rPr>
          <w:szCs w:val="24"/>
        </w:rPr>
        <w:t>kroz</w:t>
      </w:r>
      <w:proofErr w:type="spellEnd"/>
      <w:r w:rsidR="009F10C6">
        <w:rPr>
          <w:szCs w:val="24"/>
        </w:rPr>
        <w:t xml:space="preserve"> </w:t>
      </w:r>
      <w:proofErr w:type="spellStart"/>
      <w:r w:rsidR="009F10C6">
        <w:rPr>
          <w:szCs w:val="24"/>
        </w:rPr>
        <w:t>projekt</w:t>
      </w:r>
      <w:proofErr w:type="spellEnd"/>
      <w:r w:rsidR="009F10C6">
        <w:rPr>
          <w:szCs w:val="24"/>
        </w:rPr>
        <w:t>”</w:t>
      </w:r>
      <w:r w:rsidRPr="00FA227E">
        <w:rPr>
          <w:noProof/>
          <w:szCs w:val="24"/>
          <w:lang w:val="hr-HR"/>
        </w:rPr>
        <w:t>;</w:t>
      </w:r>
    </w:p>
    <w:p w14:paraId="58D5C18A" w14:textId="77777777" w:rsidR="00D50868" w:rsidRPr="00FA227E" w:rsidRDefault="00D50868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FA227E">
        <w:rPr>
          <w:noProof/>
          <w:szCs w:val="24"/>
          <w:lang w:val="hr-HR"/>
        </w:rPr>
        <w:t>poticanje STE(a)M način razmišljanja kod djece;</w:t>
      </w:r>
    </w:p>
    <w:p w14:paraId="58D746FE" w14:textId="170DAF3D" w:rsidR="00D50868" w:rsidRPr="00FA227E" w:rsidRDefault="00D50868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FA227E">
        <w:rPr>
          <w:noProof/>
          <w:szCs w:val="24"/>
          <w:lang w:val="hr-HR"/>
        </w:rPr>
        <w:t>pra</w:t>
      </w:r>
      <w:r w:rsidR="00FA227E" w:rsidRPr="00FA227E">
        <w:rPr>
          <w:noProof/>
          <w:szCs w:val="24"/>
          <w:lang w:val="hr-HR"/>
        </w:rPr>
        <w:t>čenje</w:t>
      </w:r>
      <w:r w:rsidRPr="00FA227E">
        <w:rPr>
          <w:noProof/>
          <w:szCs w:val="24"/>
          <w:lang w:val="hr-HR"/>
        </w:rPr>
        <w:t xml:space="preserve"> i zadovolj</w:t>
      </w:r>
      <w:r w:rsidR="00FA227E" w:rsidRPr="00FA227E">
        <w:rPr>
          <w:noProof/>
          <w:szCs w:val="24"/>
          <w:lang w:val="hr-HR"/>
        </w:rPr>
        <w:t>avanje</w:t>
      </w:r>
      <w:r w:rsidRPr="00FA227E">
        <w:rPr>
          <w:noProof/>
          <w:szCs w:val="24"/>
          <w:lang w:val="hr-HR"/>
        </w:rPr>
        <w:t xml:space="preserve"> dječj</w:t>
      </w:r>
      <w:r w:rsidR="00FA227E" w:rsidRPr="00FA227E">
        <w:rPr>
          <w:noProof/>
          <w:szCs w:val="24"/>
          <w:lang w:val="hr-HR"/>
        </w:rPr>
        <w:t>ih</w:t>
      </w:r>
      <w:r w:rsidRPr="00FA227E">
        <w:rPr>
          <w:noProof/>
          <w:szCs w:val="24"/>
          <w:lang w:val="hr-HR"/>
        </w:rPr>
        <w:t xml:space="preserve"> interes</w:t>
      </w:r>
      <w:r w:rsidR="00FA227E" w:rsidRPr="00FA227E">
        <w:rPr>
          <w:noProof/>
          <w:szCs w:val="24"/>
          <w:lang w:val="hr-HR"/>
        </w:rPr>
        <w:t>a</w:t>
      </w:r>
      <w:r w:rsidRPr="00FA227E">
        <w:rPr>
          <w:noProof/>
          <w:szCs w:val="24"/>
          <w:lang w:val="hr-HR"/>
        </w:rPr>
        <w:t xml:space="preserve"> i potreb</w:t>
      </w:r>
      <w:r w:rsidR="00FA227E" w:rsidRPr="00FA227E">
        <w:rPr>
          <w:noProof/>
          <w:szCs w:val="24"/>
          <w:lang w:val="hr-HR"/>
        </w:rPr>
        <w:t>a</w:t>
      </w:r>
      <w:r w:rsidRPr="00FA227E">
        <w:rPr>
          <w:noProof/>
          <w:szCs w:val="24"/>
          <w:lang w:val="hr-HR"/>
        </w:rPr>
        <w:t xml:space="preserve"> te osigura</w:t>
      </w:r>
      <w:r w:rsidR="00FA227E" w:rsidRPr="00FA227E">
        <w:rPr>
          <w:noProof/>
          <w:szCs w:val="24"/>
          <w:lang w:val="hr-HR"/>
        </w:rPr>
        <w:t>vanje</w:t>
      </w:r>
      <w:r w:rsidRPr="00FA227E">
        <w:rPr>
          <w:noProof/>
          <w:szCs w:val="24"/>
          <w:lang w:val="hr-HR"/>
        </w:rPr>
        <w:t xml:space="preserve"> uvjet</w:t>
      </w:r>
      <w:r w:rsidR="00FA227E" w:rsidRPr="00FA227E">
        <w:rPr>
          <w:noProof/>
          <w:szCs w:val="24"/>
          <w:lang w:val="hr-HR"/>
        </w:rPr>
        <w:t>a</w:t>
      </w:r>
      <w:r w:rsidRPr="00FA227E">
        <w:rPr>
          <w:noProof/>
          <w:szCs w:val="24"/>
          <w:lang w:val="hr-HR"/>
        </w:rPr>
        <w:t xml:space="preserve"> koji će doprinijeti razvoju njihovih vještina i mogućnosti</w:t>
      </w:r>
      <w:r w:rsidR="00FA227E" w:rsidRPr="00FA227E">
        <w:rPr>
          <w:noProof/>
          <w:szCs w:val="24"/>
          <w:lang w:val="hr-HR"/>
        </w:rPr>
        <w:t>;</w:t>
      </w:r>
    </w:p>
    <w:p w14:paraId="646ECD1B" w14:textId="2418C950" w:rsidR="00DF3662" w:rsidRPr="00D50868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noProof/>
          <w:szCs w:val="24"/>
          <w:lang w:val="hr-HR"/>
        </w:rPr>
      </w:pPr>
      <w:r w:rsidRPr="00D50868">
        <w:rPr>
          <w:bCs/>
          <w:noProof/>
          <w:szCs w:val="24"/>
          <w:lang w:val="hr-HR"/>
        </w:rPr>
        <w:t>razvijanje komunikacije i suradnje među skupinama i svih sudionika odgojno-obrazovnog procesa</w:t>
      </w:r>
      <w:r w:rsidR="00FA227E">
        <w:rPr>
          <w:bCs/>
          <w:noProof/>
          <w:szCs w:val="24"/>
          <w:lang w:val="hr-HR"/>
        </w:rPr>
        <w:t>.</w:t>
      </w:r>
    </w:p>
    <w:p w14:paraId="1105D0CB" w14:textId="77777777" w:rsidR="00DF3662" w:rsidRPr="00D50868" w:rsidRDefault="00DF3662" w:rsidP="009F10C6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727C015" w14:textId="25C9066F" w:rsidR="00DF3662" w:rsidRPr="00D50868" w:rsidRDefault="00DF3662" w:rsidP="00DF3662">
      <w:pPr>
        <w:spacing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Predloženim financijskim planom za razdoblje 202</w:t>
      </w:r>
      <w:r w:rsidR="00114310"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146DB2" w:rsidRPr="00D50868">
        <w:rPr>
          <w:rFonts w:ascii="Times New Roman" w:hAnsi="Times New Roman" w:cs="Times New Roman"/>
          <w:bCs/>
          <w:noProof/>
          <w:sz w:val="24"/>
          <w:szCs w:val="24"/>
        </w:rPr>
        <w:t>.-202</w:t>
      </w:r>
      <w:r w:rsidR="00114310">
        <w:rPr>
          <w:rFonts w:ascii="Times New Roman" w:hAnsi="Times New Roman" w:cs="Times New Roman"/>
          <w:bCs/>
          <w:noProof/>
          <w:sz w:val="24"/>
          <w:szCs w:val="24"/>
        </w:rPr>
        <w:t>7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>. nastojati ćemo osigurati najkvalitetniju uslugu ranog i predškolskog odgoja i obrazovanja našim korisnicima. Odgojno-obrazovni rad u narednoj pedagoškoj godini nastaviti ćemo temeljiti na uspješnim aktivnostima koje  se odnose  na razvoj  kompetencija iz STE(a)M područja , na odgoju za održivi razvoj</w:t>
      </w:r>
      <w:r w:rsidR="009F10C6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na poticanju kretanja i vježbanja te svijesti o očuvanju zdravlja</w:t>
      </w:r>
      <w:r w:rsidR="009F10C6">
        <w:rPr>
          <w:rFonts w:ascii="Times New Roman" w:hAnsi="Times New Roman" w:cs="Times New Roman"/>
          <w:bCs/>
          <w:noProof/>
          <w:sz w:val="24"/>
          <w:szCs w:val="24"/>
        </w:rPr>
        <w:t xml:space="preserve"> kao i </w:t>
      </w:r>
      <w:r w:rsidR="009F10C6" w:rsidRPr="009F10C6">
        <w:rPr>
          <w:rFonts w:ascii="Times New Roman" w:eastAsia="Calibri" w:hAnsi="Times New Roman" w:cs="Times New Roman"/>
          <w:bCs/>
          <w:szCs w:val="24"/>
        </w:rPr>
        <w:t xml:space="preserve">njegovanju tradicije i kulturnih stečevina našega mjesta kroz projekt „Naše malo </w:t>
      </w:r>
      <w:proofErr w:type="spellStart"/>
      <w:r w:rsidR="009F10C6" w:rsidRPr="009F10C6">
        <w:rPr>
          <w:rFonts w:ascii="Times New Roman" w:eastAsia="Calibri" w:hAnsi="Times New Roman" w:cs="Times New Roman"/>
          <w:bCs/>
          <w:szCs w:val="24"/>
        </w:rPr>
        <w:t>misto</w:t>
      </w:r>
      <w:proofErr w:type="spellEnd"/>
      <w:r w:rsidR="009F10C6" w:rsidRPr="009F10C6">
        <w:rPr>
          <w:rFonts w:ascii="Times New Roman" w:eastAsia="Calibri" w:hAnsi="Times New Roman" w:cs="Times New Roman"/>
          <w:bCs/>
          <w:szCs w:val="24"/>
        </w:rPr>
        <w:t>“</w:t>
      </w:r>
      <w:r w:rsidRPr="009F10C6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Pr="00D50868">
        <w:rPr>
          <w:rFonts w:ascii="Times New Roman" w:hAnsi="Times New Roman" w:cs="Times New Roman"/>
          <w:bCs/>
          <w:noProof/>
          <w:sz w:val="24"/>
          <w:szCs w:val="24"/>
        </w:rPr>
        <w:t xml:space="preserve"> Svakodnevne  izazove rješavati ćemo kvalitetnom timskom suradnjom na nivou Ustanove i zajedno sa Osnivačem vrtića Gradom Vodnjanom-Dignano. Samo zajedničkim radom, angažmanom i trudom svih dionika involviranih u proces egzistiranja dječjeg vrtića možemo ostvariti napredak za pojedinca, obitelj, zajednicu, svijet.</w:t>
      </w:r>
    </w:p>
    <w:p w14:paraId="3B00B248" w14:textId="77777777" w:rsidR="00DF3662" w:rsidRPr="00D50868" w:rsidRDefault="00DF3662" w:rsidP="00DF3662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565D6B8" w14:textId="77777777" w:rsidR="00DF3662" w:rsidRPr="00D50868" w:rsidRDefault="00DF3662" w:rsidP="00DF3662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EEB5790" w14:textId="352B314A" w:rsidR="00DF3662" w:rsidRPr="00D50868" w:rsidRDefault="005F6199" w:rsidP="005F6199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Ravnateljica </w:t>
      </w:r>
    </w:p>
    <w:p w14:paraId="058B1FEF" w14:textId="77777777" w:rsidR="00DF3662" w:rsidRPr="00D50868" w:rsidRDefault="00DF3662" w:rsidP="005F6199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Ingrid Mirković, mag.praesc.educ.</w:t>
      </w:r>
    </w:p>
    <w:p w14:paraId="4554C786" w14:textId="77777777" w:rsidR="00DF3662" w:rsidRPr="00D50868" w:rsidRDefault="00DF3662" w:rsidP="00DF3662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0774641" w14:textId="77777777" w:rsidR="00DF3662" w:rsidRPr="00D50868" w:rsidRDefault="00DF3662" w:rsidP="00DF3662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ACF1F00" w14:textId="77777777" w:rsidR="00DF3662" w:rsidRPr="00D50868" w:rsidRDefault="00DF3662" w:rsidP="00DF3662">
      <w:pPr>
        <w:rPr>
          <w:rFonts w:ascii="Times New Roman" w:hAnsi="Times New Roman" w:cs="Times New Roman"/>
          <w:noProof/>
        </w:rPr>
      </w:pPr>
    </w:p>
    <w:p w14:paraId="56E538B6" w14:textId="77777777" w:rsidR="00DF3662" w:rsidRPr="00D50868" w:rsidRDefault="00DF3662" w:rsidP="006511F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DF3662" w:rsidRPr="00D50868" w:rsidSect="00EB14ED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EF1B" w14:textId="77777777" w:rsidR="008D76CE" w:rsidRDefault="008D76CE" w:rsidP="00EB14ED">
      <w:r>
        <w:separator/>
      </w:r>
    </w:p>
  </w:endnote>
  <w:endnote w:type="continuationSeparator" w:id="0">
    <w:p w14:paraId="1DDD0112" w14:textId="77777777" w:rsidR="008D76CE" w:rsidRDefault="008D76CE" w:rsidP="00E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8559"/>
      <w:docPartObj>
        <w:docPartGallery w:val="Page Numbers (Bottom of Page)"/>
        <w:docPartUnique/>
      </w:docPartObj>
    </w:sdtPr>
    <w:sdtEndPr/>
    <w:sdtContent>
      <w:p w14:paraId="33D44466" w14:textId="77777777" w:rsidR="00EB14ED" w:rsidRDefault="00EB14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48">
          <w:rPr>
            <w:noProof/>
          </w:rPr>
          <w:t>7</w:t>
        </w:r>
        <w:r>
          <w:fldChar w:fldCharType="end"/>
        </w:r>
      </w:p>
    </w:sdtContent>
  </w:sdt>
  <w:p w14:paraId="7150D518" w14:textId="77777777" w:rsidR="00EB14ED" w:rsidRDefault="00EB14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27145" w14:textId="77777777" w:rsidR="008D76CE" w:rsidRDefault="008D76CE" w:rsidP="00EB14ED">
      <w:r>
        <w:separator/>
      </w:r>
    </w:p>
  </w:footnote>
  <w:footnote w:type="continuationSeparator" w:id="0">
    <w:p w14:paraId="665411B8" w14:textId="77777777" w:rsidR="008D76CE" w:rsidRDefault="008D76CE" w:rsidP="00EB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08"/>
    <w:multiLevelType w:val="multilevel"/>
    <w:tmpl w:val="49A0D8FE"/>
    <w:lvl w:ilvl="0">
      <w:numFmt w:val="bullet"/>
      <w:lvlText w:val="-"/>
      <w:lvlJc w:val="left"/>
      <w:pPr>
        <w:ind w:left="1070" w:hanging="360"/>
      </w:pPr>
      <w:rPr>
        <w:rFonts w:ascii="Calibri" w:eastAsiaTheme="minorHAnsi" w:hAnsi="Calibri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7D7E40"/>
    <w:multiLevelType w:val="hybridMultilevel"/>
    <w:tmpl w:val="2A4AE11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344DED"/>
    <w:multiLevelType w:val="hybridMultilevel"/>
    <w:tmpl w:val="64FA5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0EA"/>
    <w:multiLevelType w:val="hybridMultilevel"/>
    <w:tmpl w:val="2910B8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5FE0"/>
    <w:multiLevelType w:val="hybridMultilevel"/>
    <w:tmpl w:val="BF68A5DA"/>
    <w:lvl w:ilvl="0" w:tplc="3FDC56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0DDE2E86"/>
    <w:multiLevelType w:val="multilevel"/>
    <w:tmpl w:val="BC5C868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FD6BD6"/>
    <w:multiLevelType w:val="multilevel"/>
    <w:tmpl w:val="776C0BF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2C04D7"/>
    <w:multiLevelType w:val="hybridMultilevel"/>
    <w:tmpl w:val="D29EB3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108A6"/>
    <w:multiLevelType w:val="multilevel"/>
    <w:tmpl w:val="F3801E6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7B110C"/>
    <w:multiLevelType w:val="hybridMultilevel"/>
    <w:tmpl w:val="6DBC5DC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E3F26"/>
    <w:multiLevelType w:val="hybridMultilevel"/>
    <w:tmpl w:val="95486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6573"/>
    <w:multiLevelType w:val="hybridMultilevel"/>
    <w:tmpl w:val="35404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E2E"/>
    <w:multiLevelType w:val="hybridMultilevel"/>
    <w:tmpl w:val="88F45AFA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A30697"/>
    <w:multiLevelType w:val="hybridMultilevel"/>
    <w:tmpl w:val="E1D0829C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B22"/>
    <w:multiLevelType w:val="hybridMultilevel"/>
    <w:tmpl w:val="459CEE22"/>
    <w:lvl w:ilvl="0" w:tplc="73B8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72C52"/>
    <w:multiLevelType w:val="hybridMultilevel"/>
    <w:tmpl w:val="E2542E0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5B40"/>
    <w:multiLevelType w:val="hybridMultilevel"/>
    <w:tmpl w:val="C0AE44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03E69"/>
    <w:multiLevelType w:val="hybridMultilevel"/>
    <w:tmpl w:val="7C90420A"/>
    <w:lvl w:ilvl="0" w:tplc="83A613B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DE4C9D"/>
    <w:multiLevelType w:val="hybridMultilevel"/>
    <w:tmpl w:val="F2EE1C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673907"/>
    <w:multiLevelType w:val="multilevel"/>
    <w:tmpl w:val="17DCA5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1967F2"/>
    <w:multiLevelType w:val="hybridMultilevel"/>
    <w:tmpl w:val="DEDE8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264AD"/>
    <w:multiLevelType w:val="hybridMultilevel"/>
    <w:tmpl w:val="AAC86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8334D"/>
    <w:multiLevelType w:val="hybridMultilevel"/>
    <w:tmpl w:val="B96E3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B4E39"/>
    <w:multiLevelType w:val="multilevel"/>
    <w:tmpl w:val="D4181D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DC36D3E"/>
    <w:multiLevelType w:val="hybridMultilevel"/>
    <w:tmpl w:val="642A2054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4E0C7266"/>
    <w:multiLevelType w:val="multilevel"/>
    <w:tmpl w:val="173A5C90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D20431"/>
    <w:multiLevelType w:val="hybridMultilevel"/>
    <w:tmpl w:val="E6643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A1269"/>
    <w:multiLevelType w:val="multilevel"/>
    <w:tmpl w:val="05FC0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D986260"/>
    <w:multiLevelType w:val="hybridMultilevel"/>
    <w:tmpl w:val="7054E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37E0D"/>
    <w:multiLevelType w:val="multilevel"/>
    <w:tmpl w:val="9E2ECA0E"/>
    <w:lvl w:ilvl="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eastAsia="Times New Roman" w:hint="default"/>
      </w:rPr>
    </w:lvl>
  </w:abstractNum>
  <w:abstractNum w:abstractNumId="35">
    <w:nsid w:val="62024367"/>
    <w:multiLevelType w:val="hybridMultilevel"/>
    <w:tmpl w:val="DF02EA64"/>
    <w:lvl w:ilvl="0" w:tplc="D4F2F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751EC"/>
    <w:multiLevelType w:val="hybridMultilevel"/>
    <w:tmpl w:val="E940D05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D28EA"/>
    <w:multiLevelType w:val="multilevel"/>
    <w:tmpl w:val="820C6D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87D40C3"/>
    <w:multiLevelType w:val="hybridMultilevel"/>
    <w:tmpl w:val="BA12DD60"/>
    <w:lvl w:ilvl="0" w:tplc="409E3F36">
      <w:numFmt w:val="bullet"/>
      <w:lvlText w:val="-"/>
      <w:lvlJc w:val="left"/>
      <w:pPr>
        <w:ind w:left="36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125B49"/>
    <w:multiLevelType w:val="hybridMultilevel"/>
    <w:tmpl w:val="293642FC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abstractNum w:abstractNumId="44">
    <w:nsid w:val="7EB4118E"/>
    <w:multiLevelType w:val="hybridMultilevel"/>
    <w:tmpl w:val="3F1EE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9"/>
  </w:num>
  <w:num w:numId="4">
    <w:abstractNumId w:val="36"/>
  </w:num>
  <w:num w:numId="5">
    <w:abstractNumId w:val="22"/>
  </w:num>
  <w:num w:numId="6">
    <w:abstractNumId w:val="33"/>
  </w:num>
  <w:num w:numId="7">
    <w:abstractNumId w:val="30"/>
  </w:num>
  <w:num w:numId="8">
    <w:abstractNumId w:val="43"/>
  </w:num>
  <w:num w:numId="9">
    <w:abstractNumId w:val="37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38"/>
  </w:num>
  <w:num w:numId="15">
    <w:abstractNumId w:val="42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21"/>
  </w:num>
  <w:num w:numId="21">
    <w:abstractNumId w:val="41"/>
  </w:num>
  <w:num w:numId="22">
    <w:abstractNumId w:val="27"/>
  </w:num>
  <w:num w:numId="23">
    <w:abstractNumId w:val="5"/>
  </w:num>
  <w:num w:numId="24">
    <w:abstractNumId w:val="8"/>
  </w:num>
  <w:num w:numId="25">
    <w:abstractNumId w:val="20"/>
  </w:num>
  <w:num w:numId="26">
    <w:abstractNumId w:val="40"/>
  </w:num>
  <w:num w:numId="27">
    <w:abstractNumId w:val="32"/>
  </w:num>
  <w:num w:numId="28">
    <w:abstractNumId w:val="6"/>
  </w:num>
  <w:num w:numId="29">
    <w:abstractNumId w:val="44"/>
  </w:num>
  <w:num w:numId="30">
    <w:abstractNumId w:val="2"/>
  </w:num>
  <w:num w:numId="31">
    <w:abstractNumId w:val="31"/>
  </w:num>
  <w:num w:numId="32">
    <w:abstractNumId w:val="25"/>
  </w:num>
  <w:num w:numId="33">
    <w:abstractNumId w:val="24"/>
  </w:num>
  <w:num w:numId="34">
    <w:abstractNumId w:val="10"/>
  </w:num>
  <w:num w:numId="35">
    <w:abstractNumId w:val="34"/>
  </w:num>
  <w:num w:numId="36">
    <w:abstractNumId w:val="7"/>
  </w:num>
  <w:num w:numId="37">
    <w:abstractNumId w:val="17"/>
  </w:num>
  <w:num w:numId="38">
    <w:abstractNumId w:val="3"/>
  </w:num>
  <w:num w:numId="39">
    <w:abstractNumId w:val="28"/>
  </w:num>
  <w:num w:numId="40">
    <w:abstractNumId w:val="19"/>
  </w:num>
  <w:num w:numId="41">
    <w:abstractNumId w:val="0"/>
  </w:num>
  <w:num w:numId="42">
    <w:abstractNumId w:val="4"/>
  </w:num>
  <w:num w:numId="43">
    <w:abstractNumId w:val="26"/>
  </w:num>
  <w:num w:numId="44">
    <w:abstractNumId w:val="3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D8"/>
    <w:rsid w:val="00006AE2"/>
    <w:rsid w:val="00007048"/>
    <w:rsid w:val="0002440F"/>
    <w:rsid w:val="0003061D"/>
    <w:rsid w:val="000423FB"/>
    <w:rsid w:val="00046850"/>
    <w:rsid w:val="00051A5C"/>
    <w:rsid w:val="00075492"/>
    <w:rsid w:val="00093963"/>
    <w:rsid w:val="000A1F6E"/>
    <w:rsid w:val="000B1DBB"/>
    <w:rsid w:val="000B5EC5"/>
    <w:rsid w:val="000E3D38"/>
    <w:rsid w:val="000F033F"/>
    <w:rsid w:val="00100C0F"/>
    <w:rsid w:val="0010165C"/>
    <w:rsid w:val="0010275A"/>
    <w:rsid w:val="00111315"/>
    <w:rsid w:val="00114236"/>
    <w:rsid w:val="00114310"/>
    <w:rsid w:val="0011459C"/>
    <w:rsid w:val="001148CB"/>
    <w:rsid w:val="00115F55"/>
    <w:rsid w:val="00130D70"/>
    <w:rsid w:val="00142800"/>
    <w:rsid w:val="00146DB2"/>
    <w:rsid w:val="00167E08"/>
    <w:rsid w:val="0017268E"/>
    <w:rsid w:val="00181759"/>
    <w:rsid w:val="00183C8B"/>
    <w:rsid w:val="001840ED"/>
    <w:rsid w:val="00190F1F"/>
    <w:rsid w:val="00193761"/>
    <w:rsid w:val="001947F5"/>
    <w:rsid w:val="00196FB1"/>
    <w:rsid w:val="001A2515"/>
    <w:rsid w:val="001A306D"/>
    <w:rsid w:val="001B6923"/>
    <w:rsid w:val="001C0CC4"/>
    <w:rsid w:val="001C6B8C"/>
    <w:rsid w:val="001D2B1A"/>
    <w:rsid w:val="001D4669"/>
    <w:rsid w:val="001F764A"/>
    <w:rsid w:val="00203DC1"/>
    <w:rsid w:val="00215856"/>
    <w:rsid w:val="002215D3"/>
    <w:rsid w:val="00221A19"/>
    <w:rsid w:val="00224C3E"/>
    <w:rsid w:val="00230CA2"/>
    <w:rsid w:val="00234994"/>
    <w:rsid w:val="00241FED"/>
    <w:rsid w:val="0025090D"/>
    <w:rsid w:val="00252F00"/>
    <w:rsid w:val="0025637A"/>
    <w:rsid w:val="00257F6E"/>
    <w:rsid w:val="00263E43"/>
    <w:rsid w:val="002727C3"/>
    <w:rsid w:val="0028658C"/>
    <w:rsid w:val="00287BA5"/>
    <w:rsid w:val="0029780B"/>
    <w:rsid w:val="002A1EA4"/>
    <w:rsid w:val="002B04B5"/>
    <w:rsid w:val="002B703C"/>
    <w:rsid w:val="002C3E11"/>
    <w:rsid w:val="002E100D"/>
    <w:rsid w:val="002E5499"/>
    <w:rsid w:val="002F0343"/>
    <w:rsid w:val="002F548A"/>
    <w:rsid w:val="00301D03"/>
    <w:rsid w:val="00306489"/>
    <w:rsid w:val="00310CFF"/>
    <w:rsid w:val="00316029"/>
    <w:rsid w:val="00325078"/>
    <w:rsid w:val="00351236"/>
    <w:rsid w:val="00354285"/>
    <w:rsid w:val="0036636D"/>
    <w:rsid w:val="00373304"/>
    <w:rsid w:val="00376232"/>
    <w:rsid w:val="00377ED6"/>
    <w:rsid w:val="00381075"/>
    <w:rsid w:val="00382A7E"/>
    <w:rsid w:val="003830E5"/>
    <w:rsid w:val="003843BF"/>
    <w:rsid w:val="003A1F3F"/>
    <w:rsid w:val="003B40E4"/>
    <w:rsid w:val="003B6BF0"/>
    <w:rsid w:val="003D6E47"/>
    <w:rsid w:val="003E6575"/>
    <w:rsid w:val="003F3B0A"/>
    <w:rsid w:val="003F55BD"/>
    <w:rsid w:val="00400AD8"/>
    <w:rsid w:val="00412BA6"/>
    <w:rsid w:val="004156AA"/>
    <w:rsid w:val="004218A7"/>
    <w:rsid w:val="00425941"/>
    <w:rsid w:val="00437164"/>
    <w:rsid w:val="004379CE"/>
    <w:rsid w:val="00440BB1"/>
    <w:rsid w:val="0044220F"/>
    <w:rsid w:val="004425B2"/>
    <w:rsid w:val="00445CF1"/>
    <w:rsid w:val="004474D8"/>
    <w:rsid w:val="00452146"/>
    <w:rsid w:val="00455985"/>
    <w:rsid w:val="00470049"/>
    <w:rsid w:val="004855C7"/>
    <w:rsid w:val="00492A96"/>
    <w:rsid w:val="004964F7"/>
    <w:rsid w:val="004A4A43"/>
    <w:rsid w:val="004A5650"/>
    <w:rsid w:val="004A734E"/>
    <w:rsid w:val="004B1582"/>
    <w:rsid w:val="004C6097"/>
    <w:rsid w:val="004D02D2"/>
    <w:rsid w:val="004D0928"/>
    <w:rsid w:val="004D21F0"/>
    <w:rsid w:val="004D4FC2"/>
    <w:rsid w:val="004E10C2"/>
    <w:rsid w:val="004F27CF"/>
    <w:rsid w:val="004F58A9"/>
    <w:rsid w:val="00534092"/>
    <w:rsid w:val="0054022C"/>
    <w:rsid w:val="00543315"/>
    <w:rsid w:val="0056094E"/>
    <w:rsid w:val="005D3F99"/>
    <w:rsid w:val="005E261B"/>
    <w:rsid w:val="005F6199"/>
    <w:rsid w:val="005F6CE9"/>
    <w:rsid w:val="00630229"/>
    <w:rsid w:val="006511A6"/>
    <w:rsid w:val="006511FF"/>
    <w:rsid w:val="00655E5C"/>
    <w:rsid w:val="00656EB0"/>
    <w:rsid w:val="006611BA"/>
    <w:rsid w:val="00662954"/>
    <w:rsid w:val="00684D86"/>
    <w:rsid w:val="00685BD5"/>
    <w:rsid w:val="006B20C4"/>
    <w:rsid w:val="006C696F"/>
    <w:rsid w:val="006C7727"/>
    <w:rsid w:val="006E7D40"/>
    <w:rsid w:val="006F2D47"/>
    <w:rsid w:val="006F7B26"/>
    <w:rsid w:val="0070169F"/>
    <w:rsid w:val="00705D4B"/>
    <w:rsid w:val="00731477"/>
    <w:rsid w:val="00731F83"/>
    <w:rsid w:val="00735F70"/>
    <w:rsid w:val="0074738A"/>
    <w:rsid w:val="0077040E"/>
    <w:rsid w:val="0077668B"/>
    <w:rsid w:val="007774DA"/>
    <w:rsid w:val="00786B04"/>
    <w:rsid w:val="007973E1"/>
    <w:rsid w:val="007A7E1C"/>
    <w:rsid w:val="007A7FC4"/>
    <w:rsid w:val="007C16A8"/>
    <w:rsid w:val="007C2A87"/>
    <w:rsid w:val="007D0C1E"/>
    <w:rsid w:val="007D1396"/>
    <w:rsid w:val="007D2034"/>
    <w:rsid w:val="007F2272"/>
    <w:rsid w:val="007F3431"/>
    <w:rsid w:val="007F3B19"/>
    <w:rsid w:val="007F7E75"/>
    <w:rsid w:val="008059B0"/>
    <w:rsid w:val="008078AA"/>
    <w:rsid w:val="00810BBF"/>
    <w:rsid w:val="00811086"/>
    <w:rsid w:val="0083470E"/>
    <w:rsid w:val="00835FE1"/>
    <w:rsid w:val="00840CC1"/>
    <w:rsid w:val="008449AF"/>
    <w:rsid w:val="00844B25"/>
    <w:rsid w:val="00861A00"/>
    <w:rsid w:val="00865FF9"/>
    <w:rsid w:val="008666ED"/>
    <w:rsid w:val="00867A45"/>
    <w:rsid w:val="00874D1F"/>
    <w:rsid w:val="00880CA3"/>
    <w:rsid w:val="0088233D"/>
    <w:rsid w:val="00886923"/>
    <w:rsid w:val="0089174A"/>
    <w:rsid w:val="008C0CEB"/>
    <w:rsid w:val="008C51E1"/>
    <w:rsid w:val="008C7FB7"/>
    <w:rsid w:val="008D2502"/>
    <w:rsid w:val="008D76CE"/>
    <w:rsid w:val="008F0254"/>
    <w:rsid w:val="008F0974"/>
    <w:rsid w:val="008F59D6"/>
    <w:rsid w:val="008F70D6"/>
    <w:rsid w:val="00906AB6"/>
    <w:rsid w:val="009163AE"/>
    <w:rsid w:val="00922067"/>
    <w:rsid w:val="00922490"/>
    <w:rsid w:val="00922D2D"/>
    <w:rsid w:val="00931443"/>
    <w:rsid w:val="009452A0"/>
    <w:rsid w:val="0094691B"/>
    <w:rsid w:val="009537A9"/>
    <w:rsid w:val="00962052"/>
    <w:rsid w:val="00967705"/>
    <w:rsid w:val="0098186E"/>
    <w:rsid w:val="009A0545"/>
    <w:rsid w:val="009A6B25"/>
    <w:rsid w:val="009B1316"/>
    <w:rsid w:val="009B1E1B"/>
    <w:rsid w:val="009C0664"/>
    <w:rsid w:val="009C6B9C"/>
    <w:rsid w:val="009D5386"/>
    <w:rsid w:val="009D77AF"/>
    <w:rsid w:val="009D7A0F"/>
    <w:rsid w:val="009E280A"/>
    <w:rsid w:val="009E4FCB"/>
    <w:rsid w:val="009F10C6"/>
    <w:rsid w:val="009F3A93"/>
    <w:rsid w:val="00A24A33"/>
    <w:rsid w:val="00A42CD2"/>
    <w:rsid w:val="00A47654"/>
    <w:rsid w:val="00A64107"/>
    <w:rsid w:val="00A730C9"/>
    <w:rsid w:val="00A94731"/>
    <w:rsid w:val="00AB0C5F"/>
    <w:rsid w:val="00AC0719"/>
    <w:rsid w:val="00AD18E9"/>
    <w:rsid w:val="00AE1664"/>
    <w:rsid w:val="00AE1E0C"/>
    <w:rsid w:val="00AE3FB4"/>
    <w:rsid w:val="00AE636A"/>
    <w:rsid w:val="00B26F4A"/>
    <w:rsid w:val="00B34A2B"/>
    <w:rsid w:val="00B37AD2"/>
    <w:rsid w:val="00B400F2"/>
    <w:rsid w:val="00B41FF1"/>
    <w:rsid w:val="00B53827"/>
    <w:rsid w:val="00B63DD3"/>
    <w:rsid w:val="00B73F6C"/>
    <w:rsid w:val="00B74454"/>
    <w:rsid w:val="00B841AC"/>
    <w:rsid w:val="00BA16F4"/>
    <w:rsid w:val="00BA3FAD"/>
    <w:rsid w:val="00BB044F"/>
    <w:rsid w:val="00BB7751"/>
    <w:rsid w:val="00BC415B"/>
    <w:rsid w:val="00BC55A6"/>
    <w:rsid w:val="00BC62B9"/>
    <w:rsid w:val="00BD2CE0"/>
    <w:rsid w:val="00BE4AE8"/>
    <w:rsid w:val="00BF65BF"/>
    <w:rsid w:val="00C05B95"/>
    <w:rsid w:val="00C22287"/>
    <w:rsid w:val="00C24822"/>
    <w:rsid w:val="00C4495D"/>
    <w:rsid w:val="00C45013"/>
    <w:rsid w:val="00C54899"/>
    <w:rsid w:val="00C5519B"/>
    <w:rsid w:val="00C67C87"/>
    <w:rsid w:val="00C73966"/>
    <w:rsid w:val="00C76434"/>
    <w:rsid w:val="00C817EB"/>
    <w:rsid w:val="00C85E72"/>
    <w:rsid w:val="00C91540"/>
    <w:rsid w:val="00C94D01"/>
    <w:rsid w:val="00CB39F5"/>
    <w:rsid w:val="00CC5DCB"/>
    <w:rsid w:val="00CD1AF5"/>
    <w:rsid w:val="00CD624E"/>
    <w:rsid w:val="00CE54E9"/>
    <w:rsid w:val="00D02E30"/>
    <w:rsid w:val="00D06F8B"/>
    <w:rsid w:val="00D15EB9"/>
    <w:rsid w:val="00D16084"/>
    <w:rsid w:val="00D32C15"/>
    <w:rsid w:val="00D4101A"/>
    <w:rsid w:val="00D41415"/>
    <w:rsid w:val="00D471D2"/>
    <w:rsid w:val="00D4733A"/>
    <w:rsid w:val="00D500C4"/>
    <w:rsid w:val="00D50868"/>
    <w:rsid w:val="00D529F3"/>
    <w:rsid w:val="00D5648A"/>
    <w:rsid w:val="00D63D39"/>
    <w:rsid w:val="00D66006"/>
    <w:rsid w:val="00D67BA8"/>
    <w:rsid w:val="00D73D7F"/>
    <w:rsid w:val="00DA5746"/>
    <w:rsid w:val="00DA7A62"/>
    <w:rsid w:val="00DB21D2"/>
    <w:rsid w:val="00DC2C20"/>
    <w:rsid w:val="00DD2F82"/>
    <w:rsid w:val="00DF3662"/>
    <w:rsid w:val="00DF7B40"/>
    <w:rsid w:val="00E20BF0"/>
    <w:rsid w:val="00E2594F"/>
    <w:rsid w:val="00E26514"/>
    <w:rsid w:val="00E2746F"/>
    <w:rsid w:val="00E31DAB"/>
    <w:rsid w:val="00E34130"/>
    <w:rsid w:val="00E356AF"/>
    <w:rsid w:val="00E35FA3"/>
    <w:rsid w:val="00E41810"/>
    <w:rsid w:val="00E47283"/>
    <w:rsid w:val="00E5561C"/>
    <w:rsid w:val="00E60212"/>
    <w:rsid w:val="00E75EEC"/>
    <w:rsid w:val="00E77530"/>
    <w:rsid w:val="00E81989"/>
    <w:rsid w:val="00E85675"/>
    <w:rsid w:val="00EA4AEA"/>
    <w:rsid w:val="00EB1463"/>
    <w:rsid w:val="00EB14ED"/>
    <w:rsid w:val="00EB37B2"/>
    <w:rsid w:val="00ED288B"/>
    <w:rsid w:val="00ED5B2B"/>
    <w:rsid w:val="00EE657B"/>
    <w:rsid w:val="00EE7CD8"/>
    <w:rsid w:val="00F03344"/>
    <w:rsid w:val="00F14B48"/>
    <w:rsid w:val="00F30988"/>
    <w:rsid w:val="00F34EB0"/>
    <w:rsid w:val="00F36A48"/>
    <w:rsid w:val="00F7461B"/>
    <w:rsid w:val="00F74DF7"/>
    <w:rsid w:val="00F76C09"/>
    <w:rsid w:val="00F806FA"/>
    <w:rsid w:val="00F84C18"/>
    <w:rsid w:val="00F93E53"/>
    <w:rsid w:val="00F96516"/>
    <w:rsid w:val="00F97F53"/>
    <w:rsid w:val="00FA17C1"/>
    <w:rsid w:val="00FA227E"/>
    <w:rsid w:val="00FA66D6"/>
    <w:rsid w:val="00FB0CFA"/>
    <w:rsid w:val="00FC359F"/>
    <w:rsid w:val="00FD1C16"/>
    <w:rsid w:val="00FD22FE"/>
    <w:rsid w:val="00FE1EBB"/>
    <w:rsid w:val="00FE518F"/>
    <w:rsid w:val="00FF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8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CE"/>
  </w:style>
  <w:style w:type="paragraph" w:styleId="Naslov1">
    <w:name w:val="heading 1"/>
    <w:basedOn w:val="Normal"/>
    <w:next w:val="Normal"/>
    <w:link w:val="Naslov1Char"/>
    <w:qFormat/>
    <w:rsid w:val="004D02D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1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70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34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4D02D2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4D02D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A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customStyle="1" w:styleId="Obinatablica11">
    <w:name w:val="Obična tablica 11"/>
    <w:basedOn w:val="Obinatablica"/>
    <w:uiPriority w:val="41"/>
    <w:rsid w:val="003A1F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14ED"/>
  </w:style>
  <w:style w:type="paragraph" w:styleId="Podnoje">
    <w:name w:val="footer"/>
    <w:basedOn w:val="Normal"/>
    <w:link w:val="Podno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14ED"/>
  </w:style>
  <w:style w:type="character" w:customStyle="1" w:styleId="Naslov5Char">
    <w:name w:val="Naslov 5 Char"/>
    <w:basedOn w:val="Zadanifontodlomka"/>
    <w:link w:val="Naslov5"/>
    <w:uiPriority w:val="9"/>
    <w:semiHidden/>
    <w:rsid w:val="0000704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C715-AE72-49BD-9D33-98AA3AF4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12</Pages>
  <Words>2748</Words>
  <Characters>15669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E_2017</cp:lastModifiedBy>
  <cp:revision>136</cp:revision>
  <cp:lastPrinted>2024-10-31T08:23:00Z</cp:lastPrinted>
  <dcterms:created xsi:type="dcterms:W3CDTF">2021-10-12T07:25:00Z</dcterms:created>
  <dcterms:modified xsi:type="dcterms:W3CDTF">2024-10-31T09:36:00Z</dcterms:modified>
</cp:coreProperties>
</file>